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08"/>
        <w:gridCol w:w="7088"/>
      </w:tblGrid>
      <w:tr w:rsidR="00BF4DDC">
        <w:tc>
          <w:tcPr>
            <w:tcW w:w="14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DDC" w:rsidRDefault="00D64F9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ПОРІВНЯЛЬНА ТАБЛИЦЯ</w:t>
            </w:r>
          </w:p>
          <w:p w:rsidR="00BF4DDC" w:rsidRDefault="00D64F9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 проекту наказу Міністерства фінансів України «Про внесення змін до Порядку проведення оцінки виконання головним бухгалтером бюджетної установи своїх повноважень»</w:t>
            </w:r>
          </w:p>
        </w:tc>
      </w:tr>
      <w:tr w:rsidR="00BF4DDC">
        <w:tc>
          <w:tcPr>
            <w:tcW w:w="7508" w:type="dxa"/>
            <w:tcBorders>
              <w:top w:val="single" w:sz="4" w:space="0" w:color="auto"/>
            </w:tcBorders>
          </w:tcPr>
          <w:p w:rsidR="00BF4DDC" w:rsidRDefault="00D64F9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Зміст положення акта законодавства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BF4DDC" w:rsidRDefault="00D64F90">
            <w:pPr>
              <w:pStyle w:val="rvps14"/>
              <w:tabs>
                <w:tab w:val="left" w:pos="142"/>
                <w:tab w:val="left" w:pos="851"/>
              </w:tabs>
              <w:spacing w:before="0" w:beforeAutospacing="0" w:after="120" w:afterAutospacing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Зміст відповідного положення </w:t>
            </w:r>
            <w:r>
              <w:rPr>
                <w:b/>
                <w:sz w:val="26"/>
                <w:szCs w:val="26"/>
                <w:lang w:val="uk-UA"/>
              </w:rPr>
              <w:t>проекту акта</w:t>
            </w:r>
          </w:p>
        </w:tc>
      </w:tr>
      <w:tr w:rsidR="00BF4DDC">
        <w:tc>
          <w:tcPr>
            <w:tcW w:w="14596" w:type="dxa"/>
            <w:gridSpan w:val="2"/>
          </w:tcPr>
          <w:p w:rsidR="00BF4DDC" w:rsidRDefault="00D64F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rStyle w:val="rvts23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23"/>
                <w:b/>
                <w:bCs/>
                <w:sz w:val="26"/>
                <w:szCs w:val="26"/>
                <w:shd w:val="clear" w:color="auto" w:fill="FFFFFF"/>
              </w:rPr>
              <w:t xml:space="preserve">Порядок проведення оцінки виконання головним бухгалтером бюджетної установи своїх повноважень 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Style w:val="rvts23"/>
                <w:bCs/>
                <w:sz w:val="26"/>
                <w:szCs w:val="26"/>
                <w:shd w:val="clear" w:color="auto" w:fill="FFFFFF"/>
              </w:rPr>
              <w:t>(</w:t>
            </w:r>
            <w:r>
              <w:rPr>
                <w:b/>
                <w:sz w:val="26"/>
                <w:szCs w:val="26"/>
              </w:rPr>
              <w:t>наказ Міністерства фінансів України від 01 грудня 2011 року № 1537)</w:t>
            </w:r>
          </w:p>
        </w:tc>
      </w:tr>
      <w:tr w:rsidR="00BF4DDC">
        <w:tc>
          <w:tcPr>
            <w:tcW w:w="7508" w:type="dxa"/>
          </w:tcPr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9: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Для отримання результатів зовнішнього оцінювання Комісія </w:t>
            </w:r>
            <w:r>
              <w:rPr>
                <w:sz w:val="26"/>
                <w:szCs w:val="26"/>
              </w:rPr>
              <w:t>Державної казначейської служби України в межах повноважень органів Казначейства визначає та затверджує перелік питань, за якими буде здійснюватись зовнішнє оцінювання (далі - Перелік питань).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bookmarkStart w:id="1" w:name="n35"/>
            <w:bookmarkEnd w:id="1"/>
            <w:r>
              <w:rPr>
                <w:sz w:val="26"/>
                <w:szCs w:val="26"/>
              </w:rPr>
              <w:t>Перелік питань формується виходячи із повноважень головного бухг</w:t>
            </w:r>
            <w:r>
              <w:rPr>
                <w:sz w:val="26"/>
                <w:szCs w:val="26"/>
              </w:rPr>
              <w:t>алтера та завдань бухгалтерської служби, визначених </w:t>
            </w:r>
            <w:hyperlink r:id="rId6" w:tgtFrame="_blank">
              <w:r>
                <w:rPr>
                  <w:rStyle w:val="ae"/>
                  <w:color w:val="auto"/>
                  <w:sz w:val="26"/>
                  <w:szCs w:val="26"/>
                  <w:u w:val="none"/>
                </w:rPr>
                <w:t>Типовим положенням</w:t>
              </w:r>
            </w:hyperlink>
            <w:r>
              <w:rPr>
                <w:strike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trike/>
                <w:sz w:val="26"/>
                <w:szCs w:val="26"/>
              </w:rPr>
              <w:t>щодо: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trike/>
                <w:sz w:val="26"/>
                <w:szCs w:val="26"/>
              </w:rPr>
            </w:pPr>
            <w:bookmarkStart w:id="2" w:name="n36"/>
            <w:bookmarkEnd w:id="2"/>
            <w:r>
              <w:rPr>
                <w:strike/>
                <w:sz w:val="26"/>
                <w:szCs w:val="26"/>
              </w:rPr>
              <w:t>ведення бухгалтерського обліку фінансово-господарської діяльності бюджетної установи та складенн</w:t>
            </w:r>
            <w:r>
              <w:rPr>
                <w:strike/>
                <w:sz w:val="26"/>
                <w:szCs w:val="26"/>
              </w:rPr>
              <w:t>я звітності;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trike/>
                <w:sz w:val="26"/>
                <w:szCs w:val="26"/>
              </w:rPr>
            </w:pPr>
            <w:bookmarkStart w:id="3" w:name="n37"/>
            <w:bookmarkEnd w:id="3"/>
            <w:r>
              <w:rPr>
                <w:strike/>
                <w:sz w:val="26"/>
                <w:szCs w:val="26"/>
              </w:rPr>
              <w:t>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</w:t>
            </w:r>
            <w:r>
              <w:rPr>
                <w:strike/>
                <w:sz w:val="26"/>
                <w:szCs w:val="26"/>
              </w:rPr>
              <w:t>ними) ресурсами;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trike/>
                <w:sz w:val="26"/>
                <w:szCs w:val="26"/>
              </w:rPr>
            </w:pPr>
            <w:bookmarkStart w:id="4" w:name="n38"/>
            <w:bookmarkEnd w:id="4"/>
            <w:r>
              <w:rPr>
                <w:strike/>
                <w:sz w:val="26"/>
                <w:szCs w:val="26"/>
              </w:rPr>
      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</w:t>
            </w:r>
            <w:r>
              <w:rPr>
                <w:strike/>
                <w:sz w:val="26"/>
                <w:szCs w:val="26"/>
              </w:rPr>
              <w:t>аження операцій у бухгалтерському обліку та звітності;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trike/>
                <w:sz w:val="26"/>
                <w:szCs w:val="26"/>
              </w:rPr>
            </w:pPr>
            <w:bookmarkStart w:id="5" w:name="n39"/>
            <w:bookmarkEnd w:id="5"/>
            <w:r>
              <w:rPr>
                <w:strike/>
                <w:sz w:val="26"/>
                <w:szCs w:val="26"/>
              </w:rPr>
              <w:lastRenderedPageBreak/>
              <w:t>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кошторисів;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trike/>
                <w:sz w:val="26"/>
                <w:szCs w:val="26"/>
              </w:rPr>
            </w:pPr>
            <w:bookmarkStart w:id="6" w:name="n40"/>
            <w:bookmarkEnd w:id="6"/>
            <w:r>
              <w:rPr>
                <w:strike/>
                <w:sz w:val="26"/>
                <w:szCs w:val="26"/>
              </w:rPr>
              <w:t>запобігання виникненню негативних</w:t>
            </w:r>
            <w:r>
              <w:rPr>
                <w:strike/>
                <w:sz w:val="26"/>
                <w:szCs w:val="26"/>
              </w:rPr>
              <w:t xml:space="preserve"> явищ у фінансово-господарській діяльності, виявлення і мобілізація внутрішньогосподарських резервів.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bookmarkStart w:id="7" w:name="n41"/>
            <w:bookmarkEnd w:id="7"/>
            <w:r>
              <w:rPr>
                <w:sz w:val="26"/>
                <w:szCs w:val="26"/>
              </w:rPr>
              <w:t>Кожному питанню присвоюється однакова кількість балів.</w:t>
            </w:r>
          </w:p>
          <w:p w:rsidR="00BF4DDC" w:rsidRDefault="00BF4DDC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Пункт 9:</w:t>
            </w:r>
          </w:p>
          <w:p w:rsidR="00BF4DDC" w:rsidRDefault="00D64F90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ascii="Times" w:hAnsi="Times"/>
                <w:sz w:val="26"/>
                <w:szCs w:val="22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9. </w:t>
            </w:r>
            <w:r>
              <w:rPr>
                <w:rFonts w:ascii="Times" w:hAnsi="Times"/>
                <w:sz w:val="26"/>
                <w:szCs w:val="22"/>
                <w:shd w:val="clear" w:color="auto" w:fill="FFFFFF"/>
              </w:rPr>
              <w:t>Для отримання результатів зовнішнього оцінювання Комісія Державної казначейської служб</w:t>
            </w:r>
            <w:r>
              <w:rPr>
                <w:rFonts w:ascii="Times" w:hAnsi="Times"/>
                <w:sz w:val="26"/>
                <w:szCs w:val="22"/>
                <w:shd w:val="clear" w:color="auto" w:fill="FFFFFF"/>
              </w:rPr>
              <w:t>и України в межах повноважень органів Казначейства визначає та затверджує перелік питань, за якими буде здійснюватись зовнішнє оцінювання (далі – Перелік питань).</w:t>
            </w:r>
          </w:p>
          <w:p w:rsidR="00BF4DDC" w:rsidRDefault="00D64F90">
            <w:pPr>
              <w:pStyle w:val="rvps2"/>
              <w:spacing w:before="0" w:beforeAutospacing="0" w:after="0" w:afterAutospacing="0"/>
              <w:ind w:firstLine="567"/>
              <w:jc w:val="both"/>
              <w:rPr>
                <w:rFonts w:ascii="Times" w:hAnsi="Times"/>
                <w:sz w:val="26"/>
                <w:szCs w:val="22"/>
                <w:shd w:val="clear" w:color="auto" w:fill="FFFFFF"/>
              </w:rPr>
            </w:pPr>
            <w:r>
              <w:rPr>
                <w:rFonts w:ascii="Times" w:hAnsi="Times"/>
                <w:sz w:val="26"/>
                <w:szCs w:val="22"/>
                <w:shd w:val="clear" w:color="auto" w:fill="FFFFFF"/>
              </w:rPr>
              <w:t>Перелік питань формується з огляду на повноваження головного бухгалтера та завдання бухгалтер</w:t>
            </w:r>
            <w:r>
              <w:rPr>
                <w:rFonts w:ascii="Times" w:hAnsi="Times"/>
                <w:sz w:val="26"/>
                <w:szCs w:val="22"/>
                <w:shd w:val="clear" w:color="auto" w:fill="FFFFFF"/>
              </w:rPr>
              <w:t xml:space="preserve">ської служби, визначені </w:t>
            </w:r>
            <w:hyperlink r:id="rId7">
              <w:r>
                <w:rPr>
                  <w:rStyle w:val="ae"/>
                  <w:rFonts w:ascii="Times" w:hAnsi="Times"/>
                  <w:color w:val="000000"/>
                  <w:sz w:val="26"/>
                  <w:szCs w:val="22"/>
                  <w:u w:val="none"/>
                  <w:shd w:val="clear" w:color="auto" w:fill="FFFFFF"/>
                </w:rPr>
                <w:t>Типовим положенням</w:t>
              </w:r>
            </w:hyperlink>
            <w:r>
              <w:rPr>
                <w:rFonts w:ascii="Times" w:hAnsi="Times"/>
                <w:sz w:val="26"/>
                <w:szCs w:val="22"/>
                <w:shd w:val="clear" w:color="auto" w:fill="FFFFFF"/>
              </w:rPr>
              <w:t>.</w:t>
            </w:r>
          </w:p>
          <w:p w:rsidR="00BF4DDC" w:rsidRDefault="00D64F9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2"/>
              </w:rPr>
              <w:t>Кожному питанню присвоюється однакова кількість балів.</w:t>
            </w:r>
          </w:p>
          <w:p w:rsidR="00BF4DDC" w:rsidRDefault="00BF4DD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6"/>
                <w:szCs w:val="26"/>
              </w:rPr>
            </w:pPr>
          </w:p>
        </w:tc>
      </w:tr>
    </w:tbl>
    <w:p w:rsidR="00BF4DDC" w:rsidRDefault="00BF4DDC">
      <w:pPr>
        <w:rPr>
          <w:rFonts w:ascii="Times New Roman" w:hAnsi="Times New Roman"/>
          <w:b/>
          <w:sz w:val="26"/>
          <w:szCs w:val="26"/>
          <w:lang w:eastAsia="uk-UA"/>
        </w:rPr>
      </w:pPr>
      <w:bookmarkStart w:id="8" w:name="n8"/>
      <w:bookmarkEnd w:id="8"/>
    </w:p>
    <w:p w:rsidR="00BF4DDC" w:rsidRDefault="00BF4DDC">
      <w:pPr>
        <w:rPr>
          <w:rFonts w:ascii="Times New Roman" w:hAnsi="Times New Roman"/>
          <w:b/>
          <w:sz w:val="26"/>
          <w:szCs w:val="26"/>
          <w:lang w:eastAsia="uk-UA"/>
        </w:rPr>
      </w:pPr>
    </w:p>
    <w:p w:rsidR="00BF4DDC" w:rsidRDefault="00D64F90">
      <w:pPr>
        <w:rPr>
          <w:rFonts w:ascii="Times New Roman" w:hAnsi="Times New Roman"/>
          <w:b/>
          <w:sz w:val="26"/>
          <w:szCs w:val="26"/>
          <w:lang w:eastAsia="uk-UA"/>
        </w:rPr>
      </w:pPr>
      <w:r>
        <w:rPr>
          <w:rFonts w:ascii="Times New Roman" w:hAnsi="Times New Roman"/>
          <w:b/>
          <w:sz w:val="26"/>
          <w:szCs w:val="26"/>
          <w:lang w:eastAsia="uk-UA"/>
        </w:rPr>
        <w:t>Міністр фінансів України                                                                                                                                              Сергій МАРЧЕНКО</w:t>
      </w:r>
    </w:p>
    <w:p w:rsidR="00BF4DDC" w:rsidRDefault="00D64F90">
      <w:p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_____________ 2023 року</w:t>
      </w:r>
    </w:p>
    <w:sectPr w:rsidR="00BF4DDC">
      <w:headerReference w:type="default" r:id="rId8"/>
      <w:pgSz w:w="16838" w:h="11906" w:orient="landscape"/>
      <w:pgMar w:top="1417" w:right="850" w:bottom="85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DC" w:rsidRDefault="00BF4DDC">
      <w:pPr>
        <w:spacing w:after="0" w:line="240" w:lineRule="auto"/>
      </w:pPr>
    </w:p>
  </w:endnote>
  <w:endnote w:type="continuationSeparator" w:id="0">
    <w:p w:rsidR="00BF4DDC" w:rsidRDefault="00BF4D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DC" w:rsidRDefault="00BF4DDC">
      <w:pPr>
        <w:spacing w:after="0" w:line="240" w:lineRule="auto"/>
      </w:pPr>
    </w:p>
  </w:footnote>
  <w:footnote w:type="continuationSeparator" w:id="0">
    <w:p w:rsidR="00BF4DDC" w:rsidRDefault="00BF4D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DC" w:rsidRDefault="00D64F9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F4DDC" w:rsidRDefault="00BF4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DC"/>
    <w:rsid w:val="00BF4DDC"/>
    <w:rsid w:val="00D6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ECA14-DEC4-4B09-A2C0-E710B65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basedOn w:val="a0"/>
    <w:semiHidden/>
    <w:rPr>
      <w:color w:val="0000FF"/>
      <w:u w:val="single"/>
    </w:rPr>
  </w:style>
  <w:style w:type="character" w:customStyle="1" w:styleId="rvts52">
    <w:name w:val="rvts52"/>
    <w:basedOn w:val="a0"/>
  </w:style>
  <w:style w:type="character" w:customStyle="1" w:styleId="rvts23">
    <w:name w:val="rvts23"/>
    <w:basedOn w:val="a0"/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9-2011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9-2011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Оксана Вікторівна</dc:creator>
  <cp:lastModifiedBy>Шевченко Оксана Вікторівна</cp:lastModifiedBy>
  <cp:revision>2</cp:revision>
  <dcterms:created xsi:type="dcterms:W3CDTF">2023-03-09T09:12:00Z</dcterms:created>
  <dcterms:modified xsi:type="dcterms:W3CDTF">2023-03-09T09:12:00Z</dcterms:modified>
</cp:coreProperties>
</file>