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9EAEC" w14:textId="77777777" w:rsidR="00E8353A" w:rsidRPr="00E8353A" w:rsidRDefault="00E8353A" w:rsidP="00E8353A">
      <w:pPr>
        <w:spacing w:after="0" w:line="240" w:lineRule="auto"/>
        <w:jc w:val="both"/>
        <w:rPr>
          <w:rFonts w:ascii="Times New Roman" w:eastAsia="Times New Roman" w:hAnsi="Times New Roman" w:cs="Times New Roman"/>
          <w:color w:val="323842"/>
          <w:sz w:val="24"/>
          <w:szCs w:val="24"/>
          <w:lang w:eastAsia="uk-UA"/>
        </w:rPr>
      </w:pPr>
    </w:p>
    <w:tbl>
      <w:tblPr>
        <w:tblW w:w="0" w:type="auto"/>
        <w:tblBorders>
          <w:top w:val="outset" w:sz="6" w:space="0" w:color="000000"/>
          <w:left w:val="outset" w:sz="6" w:space="0" w:color="000000"/>
          <w:bottom w:val="outset" w:sz="6" w:space="0" w:color="000000"/>
          <w:right w:val="outset" w:sz="6" w:space="0" w:color="000000"/>
        </w:tblBorders>
        <w:tblCellMar>
          <w:top w:w="20" w:type="dxa"/>
          <w:left w:w="20" w:type="dxa"/>
          <w:bottom w:w="20" w:type="dxa"/>
          <w:right w:w="20" w:type="dxa"/>
        </w:tblCellMar>
        <w:tblLook w:val="04A0" w:firstRow="1" w:lastRow="0" w:firstColumn="1" w:lastColumn="0" w:noHBand="0" w:noVBand="1"/>
      </w:tblPr>
      <w:tblGrid>
        <w:gridCol w:w="1779"/>
        <w:gridCol w:w="1772"/>
        <w:gridCol w:w="6072"/>
      </w:tblGrid>
      <w:tr w:rsidR="00C775B2" w:rsidRPr="00E8353A" w14:paraId="344E8138" w14:textId="77777777" w:rsidTr="00E8353A">
        <w:trPr>
          <w:trHeight w:val="20"/>
        </w:trPr>
        <w:tc>
          <w:tcPr>
            <w:tcW w:w="0" w:type="auto"/>
            <w:gridSpan w:val="3"/>
            <w:tcBorders>
              <w:top w:val="outset" w:sz="6" w:space="0" w:color="000000"/>
              <w:left w:val="outset" w:sz="6" w:space="0" w:color="000000"/>
              <w:bottom w:val="outset" w:sz="6" w:space="0" w:color="000000"/>
              <w:right w:val="outset" w:sz="6" w:space="0" w:color="000000"/>
            </w:tcBorders>
            <w:shd w:val="clear" w:color="auto" w:fill="F2DBDB"/>
            <w:tcMar>
              <w:top w:w="0" w:type="dxa"/>
              <w:left w:w="0" w:type="dxa"/>
              <w:bottom w:w="0" w:type="dxa"/>
              <w:right w:w="0" w:type="dxa"/>
            </w:tcMar>
            <w:vAlign w:val="center"/>
            <w:hideMark/>
          </w:tcPr>
          <w:p w14:paraId="456AFBE6" w14:textId="77777777" w:rsidR="00C775B2" w:rsidRPr="00E8353A" w:rsidRDefault="00C775B2" w:rsidP="00E8353A">
            <w:pPr>
              <w:spacing w:after="0" w:line="240" w:lineRule="auto"/>
              <w:jc w:val="center"/>
              <w:rPr>
                <w:rFonts w:ascii="Times New Roman" w:eastAsia="Times New Roman" w:hAnsi="Times New Roman" w:cs="Times New Roman"/>
                <w:color w:val="323842"/>
                <w:sz w:val="20"/>
                <w:szCs w:val="20"/>
                <w:lang w:eastAsia="uk-UA"/>
              </w:rPr>
            </w:pPr>
            <w:r w:rsidRPr="00E8353A">
              <w:rPr>
                <w:rFonts w:ascii="Times New Roman" w:eastAsia="Times New Roman" w:hAnsi="Times New Roman" w:cs="Times New Roman"/>
                <w:b/>
                <w:bCs/>
                <w:color w:val="323842"/>
                <w:sz w:val="20"/>
                <w:szCs w:val="20"/>
                <w:lang w:eastAsia="uk-UA"/>
              </w:rPr>
              <w:t>АЛГОРИТМ ЗАПОВНЕННЯ ПРИМІТОК ДО ФІНАНСОВОЇ ЗВІТНОСТІ (ФОРМА 5-ДС)</w:t>
            </w:r>
          </w:p>
        </w:tc>
      </w:tr>
      <w:tr w:rsidR="00C775B2" w:rsidRPr="00E8353A" w14:paraId="6A1D0536" w14:textId="77777777" w:rsidTr="00E8353A">
        <w:trPr>
          <w:trHeight w:val="20"/>
        </w:trPr>
        <w:tc>
          <w:tcPr>
            <w:tcW w:w="0" w:type="auto"/>
            <w:tcBorders>
              <w:top w:val="outset" w:sz="6" w:space="0" w:color="000000"/>
              <w:left w:val="outset" w:sz="6" w:space="0" w:color="000000"/>
              <w:bottom w:val="outset" w:sz="6" w:space="0" w:color="000000"/>
              <w:right w:val="outset" w:sz="6" w:space="0" w:color="000000"/>
            </w:tcBorders>
            <w:shd w:val="clear" w:color="auto" w:fill="C38B97"/>
            <w:tcMar>
              <w:top w:w="0" w:type="dxa"/>
              <w:left w:w="0" w:type="dxa"/>
              <w:bottom w:w="0" w:type="dxa"/>
              <w:right w:w="0" w:type="dxa"/>
            </w:tcMar>
            <w:vAlign w:val="center"/>
            <w:hideMark/>
          </w:tcPr>
          <w:p w14:paraId="42C012F1" w14:textId="77777777" w:rsidR="00C775B2" w:rsidRPr="00E8353A" w:rsidRDefault="00C775B2" w:rsidP="00E8353A">
            <w:pPr>
              <w:spacing w:after="0" w:line="240" w:lineRule="auto"/>
              <w:jc w:val="center"/>
              <w:rPr>
                <w:rFonts w:ascii="Times New Roman" w:eastAsia="Times New Roman" w:hAnsi="Times New Roman" w:cs="Times New Roman"/>
                <w:color w:val="323842"/>
                <w:sz w:val="20"/>
                <w:szCs w:val="20"/>
                <w:lang w:eastAsia="uk-UA"/>
              </w:rPr>
            </w:pPr>
            <w:r w:rsidRPr="00E8353A">
              <w:rPr>
                <w:rFonts w:ascii="Times New Roman" w:eastAsia="Times New Roman" w:hAnsi="Times New Roman" w:cs="Times New Roman"/>
                <w:b/>
                <w:bCs/>
                <w:color w:val="323842"/>
                <w:sz w:val="20"/>
                <w:szCs w:val="20"/>
                <w:lang w:eastAsia="uk-UA"/>
              </w:rPr>
              <w:t>Найменування графи або рядка</w:t>
            </w:r>
          </w:p>
        </w:tc>
        <w:tc>
          <w:tcPr>
            <w:tcW w:w="1445" w:type="dxa"/>
            <w:tcBorders>
              <w:top w:val="outset" w:sz="6" w:space="0" w:color="000000"/>
              <w:left w:val="outset" w:sz="6" w:space="0" w:color="000000"/>
              <w:bottom w:val="outset" w:sz="6" w:space="0" w:color="000000"/>
              <w:right w:val="outset" w:sz="6" w:space="0" w:color="000000"/>
            </w:tcBorders>
            <w:shd w:val="clear" w:color="auto" w:fill="C38B97"/>
            <w:tcMar>
              <w:top w:w="0" w:type="dxa"/>
              <w:left w:w="0" w:type="dxa"/>
              <w:bottom w:w="0" w:type="dxa"/>
              <w:right w:w="0" w:type="dxa"/>
            </w:tcMar>
            <w:vAlign w:val="center"/>
            <w:hideMark/>
          </w:tcPr>
          <w:p w14:paraId="5DA379F8" w14:textId="77777777" w:rsidR="00C775B2" w:rsidRPr="00E8353A" w:rsidRDefault="00C775B2" w:rsidP="00E8353A">
            <w:pPr>
              <w:spacing w:after="0" w:line="240" w:lineRule="auto"/>
              <w:jc w:val="center"/>
              <w:rPr>
                <w:rFonts w:ascii="Times New Roman" w:eastAsia="Times New Roman" w:hAnsi="Times New Roman" w:cs="Times New Roman"/>
                <w:color w:val="323842"/>
                <w:sz w:val="20"/>
                <w:szCs w:val="20"/>
                <w:lang w:eastAsia="uk-UA"/>
              </w:rPr>
            </w:pPr>
            <w:r w:rsidRPr="00E8353A">
              <w:rPr>
                <w:rFonts w:ascii="Times New Roman" w:eastAsia="Times New Roman" w:hAnsi="Times New Roman" w:cs="Times New Roman"/>
                <w:b/>
                <w:bCs/>
                <w:color w:val="323842"/>
                <w:sz w:val="20"/>
                <w:szCs w:val="20"/>
                <w:lang w:eastAsia="uk-UA"/>
              </w:rPr>
              <w:t>№ рядка (або графи, – гр.)</w:t>
            </w:r>
          </w:p>
        </w:tc>
        <w:tc>
          <w:tcPr>
            <w:tcW w:w="4953" w:type="dxa"/>
            <w:tcBorders>
              <w:top w:val="outset" w:sz="6" w:space="0" w:color="000000"/>
              <w:left w:val="outset" w:sz="6" w:space="0" w:color="000000"/>
              <w:bottom w:val="outset" w:sz="6" w:space="0" w:color="000000"/>
              <w:right w:val="outset" w:sz="6" w:space="0" w:color="000000"/>
            </w:tcBorders>
            <w:shd w:val="clear" w:color="auto" w:fill="C38B97"/>
            <w:tcMar>
              <w:top w:w="0" w:type="dxa"/>
              <w:left w:w="0" w:type="dxa"/>
              <w:bottom w:w="0" w:type="dxa"/>
              <w:right w:w="0" w:type="dxa"/>
            </w:tcMar>
            <w:vAlign w:val="center"/>
            <w:hideMark/>
          </w:tcPr>
          <w:p w14:paraId="638B17CD" w14:textId="77777777" w:rsidR="00C775B2" w:rsidRPr="00E8353A" w:rsidRDefault="00C775B2" w:rsidP="00E8353A">
            <w:pPr>
              <w:spacing w:after="0" w:line="240" w:lineRule="auto"/>
              <w:jc w:val="center"/>
              <w:rPr>
                <w:rFonts w:ascii="Times New Roman" w:eastAsia="Times New Roman" w:hAnsi="Times New Roman" w:cs="Times New Roman"/>
                <w:color w:val="323842"/>
                <w:sz w:val="20"/>
                <w:szCs w:val="20"/>
                <w:lang w:eastAsia="uk-UA"/>
              </w:rPr>
            </w:pPr>
            <w:r w:rsidRPr="00E8353A">
              <w:rPr>
                <w:rFonts w:ascii="Times New Roman" w:eastAsia="Times New Roman" w:hAnsi="Times New Roman" w:cs="Times New Roman"/>
                <w:b/>
                <w:bCs/>
                <w:color w:val="323842"/>
                <w:sz w:val="20"/>
                <w:szCs w:val="20"/>
                <w:lang w:eastAsia="uk-UA"/>
              </w:rPr>
              <w:t>Порядок заповнення</w:t>
            </w:r>
          </w:p>
        </w:tc>
      </w:tr>
      <w:tr w:rsidR="00C775B2" w:rsidRPr="00E8353A" w14:paraId="0A2CE3D0" w14:textId="77777777" w:rsidTr="00E8353A">
        <w:trPr>
          <w:trHeight w:val="20"/>
        </w:trPr>
        <w:tc>
          <w:tcPr>
            <w:tcW w:w="0" w:type="auto"/>
            <w:gridSpan w:val="3"/>
            <w:tcBorders>
              <w:top w:val="outset" w:sz="6" w:space="0" w:color="000000"/>
              <w:left w:val="outset" w:sz="6" w:space="0" w:color="000000"/>
              <w:bottom w:val="outset" w:sz="6" w:space="0" w:color="000000"/>
              <w:right w:val="outset" w:sz="6" w:space="0" w:color="000000"/>
            </w:tcBorders>
            <w:shd w:val="clear" w:color="auto" w:fill="F2DBDB"/>
            <w:tcMar>
              <w:top w:w="0" w:type="dxa"/>
              <w:left w:w="0" w:type="dxa"/>
              <w:bottom w:w="0" w:type="dxa"/>
              <w:right w:w="0" w:type="dxa"/>
            </w:tcMar>
            <w:hideMark/>
          </w:tcPr>
          <w:p w14:paraId="765DDE7A" w14:textId="77777777" w:rsidR="00C775B2" w:rsidRPr="00E8353A" w:rsidRDefault="00C775B2" w:rsidP="00E8353A">
            <w:pPr>
              <w:spacing w:after="0" w:line="240" w:lineRule="auto"/>
              <w:jc w:val="center"/>
              <w:rPr>
                <w:rFonts w:ascii="Times New Roman" w:eastAsia="Times New Roman" w:hAnsi="Times New Roman" w:cs="Times New Roman"/>
                <w:color w:val="323842"/>
                <w:sz w:val="20"/>
                <w:szCs w:val="20"/>
                <w:lang w:eastAsia="uk-UA"/>
              </w:rPr>
            </w:pPr>
            <w:r w:rsidRPr="00E8353A">
              <w:rPr>
                <w:rFonts w:ascii="Times New Roman" w:eastAsia="Times New Roman" w:hAnsi="Times New Roman" w:cs="Times New Roman"/>
                <w:b/>
                <w:bCs/>
                <w:color w:val="323842"/>
                <w:sz w:val="20"/>
                <w:szCs w:val="20"/>
                <w:lang w:eastAsia="uk-UA"/>
              </w:rPr>
              <w:t>Розділ І Основні засоби</w:t>
            </w:r>
          </w:p>
        </w:tc>
      </w:tr>
      <w:tr w:rsidR="00C775B2" w:rsidRPr="00E8353A" w14:paraId="2C37C760" w14:textId="77777777" w:rsidTr="00E8353A">
        <w:trPr>
          <w:trHeight w:val="20"/>
        </w:trPr>
        <w:tc>
          <w:tcPr>
            <w:tcW w:w="4670"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772C4ED8" w14:textId="77777777" w:rsidR="00C775B2" w:rsidRPr="00E8353A" w:rsidRDefault="00C775B2" w:rsidP="00E8353A">
            <w:pPr>
              <w:spacing w:after="0" w:line="240" w:lineRule="auto"/>
              <w:jc w:val="center"/>
              <w:rPr>
                <w:rFonts w:ascii="Times New Roman" w:eastAsia="Times New Roman" w:hAnsi="Times New Roman" w:cs="Times New Roman"/>
                <w:color w:val="323842"/>
                <w:sz w:val="20"/>
                <w:szCs w:val="20"/>
                <w:lang w:eastAsia="uk-UA"/>
              </w:rPr>
            </w:pPr>
            <w:r w:rsidRPr="00E8353A">
              <w:rPr>
                <w:rFonts w:ascii="Times New Roman" w:eastAsia="Times New Roman" w:hAnsi="Times New Roman" w:cs="Times New Roman"/>
                <w:b/>
                <w:bCs/>
                <w:color w:val="323842"/>
                <w:sz w:val="20"/>
                <w:szCs w:val="20"/>
                <w:lang w:eastAsia="uk-UA"/>
              </w:rPr>
              <w:t>Залишок на початок року</w:t>
            </w:r>
          </w:p>
        </w:tc>
        <w:tc>
          <w:tcPr>
            <w:tcW w:w="495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79D99BB7" w14:textId="77777777" w:rsidR="00C775B2" w:rsidRPr="00E8353A" w:rsidRDefault="00C775B2" w:rsidP="00E8353A">
            <w:pPr>
              <w:spacing w:after="0" w:line="240" w:lineRule="auto"/>
              <w:jc w:val="both"/>
              <w:rPr>
                <w:rFonts w:ascii="Times New Roman" w:eastAsia="Times New Roman" w:hAnsi="Times New Roman" w:cs="Times New Roman"/>
                <w:color w:val="323842"/>
                <w:sz w:val="20"/>
                <w:szCs w:val="20"/>
                <w:lang w:eastAsia="uk-UA"/>
              </w:rPr>
            </w:pPr>
          </w:p>
        </w:tc>
      </w:tr>
      <w:tr w:rsidR="00C775B2" w:rsidRPr="00E8353A" w14:paraId="3C39AA92" w14:textId="77777777" w:rsidTr="00E8353A">
        <w:trPr>
          <w:trHeight w:val="20"/>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72E86625" w14:textId="77777777" w:rsidR="00C775B2" w:rsidRPr="002C4941" w:rsidRDefault="00C775B2" w:rsidP="00E8353A">
            <w:pPr>
              <w:spacing w:after="0" w:line="240" w:lineRule="auto"/>
              <w:jc w:val="center"/>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Первісна (переоцінена) вартість</w:t>
            </w:r>
          </w:p>
        </w:tc>
        <w:tc>
          <w:tcPr>
            <w:tcW w:w="144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58A38317" w14:textId="77777777" w:rsidR="00C775B2" w:rsidRPr="002C4941" w:rsidRDefault="00C775B2" w:rsidP="00E8353A">
            <w:pPr>
              <w:spacing w:after="0" w:line="240" w:lineRule="auto"/>
              <w:jc w:val="center"/>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гр. 3</w:t>
            </w:r>
          </w:p>
        </w:tc>
        <w:tc>
          <w:tcPr>
            <w:tcW w:w="495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13E8E7B1" w14:textId="4E85C952" w:rsidR="00C775B2" w:rsidRPr="002C4941" w:rsidRDefault="00112484"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д</w:t>
            </w:r>
            <w:r w:rsidR="00C775B2" w:rsidRPr="002C4941">
              <w:rPr>
                <w:rFonts w:ascii="Times New Roman" w:eastAsia="Times New Roman" w:hAnsi="Times New Roman" w:cs="Times New Roman"/>
                <w:color w:val="323842"/>
                <w:sz w:val="20"/>
                <w:szCs w:val="20"/>
                <w:lang w:eastAsia="uk-UA"/>
              </w:rPr>
              <w:t>ані щодо залишку за однойменними рахунками основних засобів (Дт 1010 –Дт 1018) та інших необоротних матеріальних активів (Дт 1111 – Дт 1118)</w:t>
            </w:r>
          </w:p>
          <w:p w14:paraId="690D3F13" w14:textId="77777777" w:rsidR="00C775B2" w:rsidRPr="002C4941" w:rsidRDefault="00C775B2" w:rsidP="00E8353A">
            <w:pPr>
              <w:spacing w:after="0" w:line="240" w:lineRule="auto"/>
              <w:jc w:val="both"/>
              <w:rPr>
                <w:rFonts w:ascii="Times New Roman" w:eastAsia="Times New Roman" w:hAnsi="Times New Roman" w:cs="Times New Roman"/>
                <w:color w:val="323842"/>
                <w:sz w:val="20"/>
                <w:szCs w:val="20"/>
                <w:lang w:eastAsia="uk-UA"/>
              </w:rPr>
            </w:pPr>
          </w:p>
        </w:tc>
      </w:tr>
      <w:tr w:rsidR="00C775B2" w:rsidRPr="00E8353A" w14:paraId="0CD3C5E6" w14:textId="77777777" w:rsidTr="00E8353A">
        <w:trPr>
          <w:trHeight w:val="20"/>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0B5187BF" w14:textId="77777777" w:rsidR="00C775B2" w:rsidRPr="002C4941" w:rsidRDefault="00C775B2" w:rsidP="00E8353A">
            <w:pPr>
              <w:spacing w:after="0" w:line="240" w:lineRule="auto"/>
              <w:jc w:val="center"/>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Знос</w:t>
            </w:r>
          </w:p>
        </w:tc>
        <w:tc>
          <w:tcPr>
            <w:tcW w:w="144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51D162A8" w14:textId="77777777" w:rsidR="00C775B2" w:rsidRPr="002C4941" w:rsidRDefault="00C775B2" w:rsidP="00E8353A">
            <w:pPr>
              <w:spacing w:after="0" w:line="240" w:lineRule="auto"/>
              <w:jc w:val="center"/>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гр.4</w:t>
            </w:r>
          </w:p>
        </w:tc>
        <w:tc>
          <w:tcPr>
            <w:tcW w:w="495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68C2B0AE" w14:textId="77777777" w:rsidR="00C775B2" w:rsidRPr="002C4941" w:rsidRDefault="00C775B2"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Дані можна взяти відомість з нарахування амортизації за 2023 рік. Загальна сума зносу має співпасти з залишками за рахунками Кт 1411 + Кт 1412 + Кт 1414.</w:t>
            </w:r>
          </w:p>
          <w:p w14:paraId="1000E166" w14:textId="77777777" w:rsidR="00C775B2" w:rsidRPr="002C4941" w:rsidRDefault="00C775B2"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 xml:space="preserve">Зносу ніколи немає і ставимо прочерк за такими об’єктами: земельні ділянки, музейні цінності, природні ресурси, так як вони за н </w:t>
            </w:r>
            <w:hyperlink r:id="rId8" w:anchor="Text" w:tgtFrame="_blank" w:history="1">
              <w:r w:rsidRPr="002C4941">
                <w:rPr>
                  <w:rFonts w:ascii="Times New Roman" w:eastAsia="Times New Roman" w:hAnsi="Times New Roman" w:cs="Times New Roman"/>
                  <w:color w:val="0000FF"/>
                  <w:sz w:val="20"/>
                  <w:szCs w:val="20"/>
                  <w:u w:val="single"/>
                  <w:lang w:eastAsia="uk-UA"/>
                </w:rPr>
                <w:t>НП(С)БОДС 121 «Основні засоби»</w:t>
              </w:r>
            </w:hyperlink>
            <w:r w:rsidRPr="002C4941">
              <w:rPr>
                <w:rFonts w:ascii="Times New Roman" w:eastAsia="Times New Roman" w:hAnsi="Times New Roman" w:cs="Times New Roman"/>
                <w:color w:val="323842"/>
                <w:sz w:val="20"/>
                <w:szCs w:val="20"/>
                <w:lang w:eastAsia="uk-UA"/>
              </w:rPr>
              <w:t xml:space="preserve"> взагалі не амортизуються</w:t>
            </w:r>
          </w:p>
        </w:tc>
      </w:tr>
      <w:tr w:rsidR="00C775B2" w:rsidRPr="00E8353A" w14:paraId="6A89CCB6" w14:textId="77777777" w:rsidTr="00E8353A">
        <w:trPr>
          <w:trHeight w:val="20"/>
        </w:trPr>
        <w:tc>
          <w:tcPr>
            <w:tcW w:w="4670"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335BB2BE" w14:textId="77777777" w:rsidR="00C775B2" w:rsidRPr="002C4941" w:rsidRDefault="00C775B2" w:rsidP="00E8353A">
            <w:pPr>
              <w:spacing w:after="0" w:line="240" w:lineRule="auto"/>
              <w:jc w:val="center"/>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b/>
                <w:bCs/>
                <w:color w:val="323842"/>
                <w:sz w:val="20"/>
                <w:szCs w:val="20"/>
                <w:lang w:eastAsia="uk-UA"/>
              </w:rPr>
              <w:t>Пояснення щодо інших граф</w:t>
            </w:r>
          </w:p>
        </w:tc>
        <w:tc>
          <w:tcPr>
            <w:tcW w:w="495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5FE4E09D" w14:textId="77777777" w:rsidR="00C775B2" w:rsidRPr="002C4941" w:rsidRDefault="00C775B2" w:rsidP="00E8353A">
            <w:pPr>
              <w:spacing w:after="0" w:line="240" w:lineRule="auto"/>
              <w:jc w:val="center"/>
              <w:rPr>
                <w:rFonts w:ascii="Times New Roman" w:eastAsia="Times New Roman" w:hAnsi="Times New Roman" w:cs="Times New Roman"/>
                <w:color w:val="323842"/>
                <w:sz w:val="20"/>
                <w:szCs w:val="20"/>
                <w:lang w:eastAsia="uk-UA"/>
              </w:rPr>
            </w:pPr>
          </w:p>
        </w:tc>
      </w:tr>
      <w:tr w:rsidR="00C775B2" w:rsidRPr="00E8353A" w14:paraId="2AA9D1E0" w14:textId="77777777" w:rsidTr="00E8353A">
        <w:trPr>
          <w:trHeight w:val="20"/>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437F4E9D" w14:textId="77777777" w:rsidR="00C775B2" w:rsidRPr="002C4941" w:rsidRDefault="00C775B2" w:rsidP="00E8353A">
            <w:pPr>
              <w:spacing w:after="0" w:line="240" w:lineRule="auto"/>
              <w:jc w:val="center"/>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Переоцінка</w:t>
            </w:r>
          </w:p>
        </w:tc>
        <w:tc>
          <w:tcPr>
            <w:tcW w:w="144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05F7B77A" w14:textId="77777777" w:rsidR="00C775B2" w:rsidRPr="002C4941" w:rsidRDefault="00C775B2" w:rsidP="00E8353A">
            <w:pPr>
              <w:spacing w:after="0" w:line="240" w:lineRule="auto"/>
              <w:jc w:val="center"/>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гр. 5-6</w:t>
            </w:r>
          </w:p>
        </w:tc>
        <w:tc>
          <w:tcPr>
            <w:tcW w:w="495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0B468004" w14:textId="7A4906D5" w:rsidR="00C775B2" w:rsidRPr="002C4941" w:rsidRDefault="00C775B2"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 xml:space="preserve">Переоцінка проводиться у бюджетників досить </w:t>
            </w:r>
            <w:proofErr w:type="spellStart"/>
            <w:r w:rsidRPr="002C4941">
              <w:rPr>
                <w:rFonts w:ascii="Times New Roman" w:eastAsia="Times New Roman" w:hAnsi="Times New Roman" w:cs="Times New Roman"/>
                <w:color w:val="323842"/>
                <w:sz w:val="20"/>
                <w:szCs w:val="20"/>
                <w:lang w:eastAsia="uk-UA"/>
              </w:rPr>
              <w:t>рідко</w:t>
            </w:r>
            <w:proofErr w:type="spellEnd"/>
            <w:r w:rsidRPr="002C4941">
              <w:rPr>
                <w:rFonts w:ascii="Times New Roman" w:eastAsia="Times New Roman" w:hAnsi="Times New Roman" w:cs="Times New Roman"/>
                <w:color w:val="323842"/>
                <w:sz w:val="20"/>
                <w:szCs w:val="20"/>
                <w:lang w:eastAsia="uk-UA"/>
              </w:rPr>
              <w:t xml:space="preserve">, так як потребує залучення експерта-оцінювача. У даних графах </w:t>
            </w:r>
            <w:r w:rsidR="009C0BDD" w:rsidRPr="002C4941">
              <w:rPr>
                <w:rFonts w:ascii="Times New Roman" w:eastAsia="Times New Roman" w:hAnsi="Times New Roman" w:cs="Times New Roman"/>
                <w:color w:val="323842"/>
                <w:sz w:val="20"/>
                <w:szCs w:val="20"/>
                <w:lang w:eastAsia="uk-UA"/>
              </w:rPr>
              <w:t>відображається</w:t>
            </w:r>
            <w:r w:rsidRPr="002C4941">
              <w:rPr>
                <w:rFonts w:ascii="Times New Roman" w:eastAsia="Times New Roman" w:hAnsi="Times New Roman" w:cs="Times New Roman"/>
                <w:color w:val="323842"/>
                <w:sz w:val="20"/>
                <w:szCs w:val="20"/>
                <w:lang w:eastAsia="uk-UA"/>
              </w:rPr>
              <w:t xml:space="preserve"> сум</w:t>
            </w:r>
            <w:r w:rsidR="009C0BDD" w:rsidRPr="002C4941">
              <w:rPr>
                <w:rFonts w:ascii="Times New Roman" w:eastAsia="Times New Roman" w:hAnsi="Times New Roman" w:cs="Times New Roman"/>
                <w:color w:val="323842"/>
                <w:sz w:val="20"/>
                <w:szCs w:val="20"/>
                <w:lang w:eastAsia="uk-UA"/>
              </w:rPr>
              <w:t>а</w:t>
            </w:r>
            <w:r w:rsidRPr="002C4941">
              <w:rPr>
                <w:rFonts w:ascii="Times New Roman" w:eastAsia="Times New Roman" w:hAnsi="Times New Roman" w:cs="Times New Roman"/>
                <w:color w:val="323842"/>
                <w:sz w:val="20"/>
                <w:szCs w:val="20"/>
                <w:lang w:eastAsia="uk-UA"/>
              </w:rPr>
              <w:t xml:space="preserve"> збільшення «+» (зменшення «–») первісної вартості (гр. 5) та накопиченого зносу (гр. 6). Зверніть увагу, що малоцінні необоротні матеріальні активи (МНМА) переоцінці не підлягають</w:t>
            </w:r>
          </w:p>
        </w:tc>
      </w:tr>
      <w:tr w:rsidR="00C775B2" w:rsidRPr="00E8353A" w14:paraId="712EB52A" w14:textId="77777777" w:rsidTr="00E8353A">
        <w:trPr>
          <w:trHeight w:val="20"/>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4FE54F99" w14:textId="77777777" w:rsidR="00C775B2" w:rsidRPr="002C4941" w:rsidRDefault="00C775B2" w:rsidP="00E8353A">
            <w:pPr>
              <w:spacing w:after="0" w:line="240" w:lineRule="auto"/>
              <w:jc w:val="center"/>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Вибуття</w:t>
            </w:r>
          </w:p>
        </w:tc>
        <w:tc>
          <w:tcPr>
            <w:tcW w:w="144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2B2B7687" w14:textId="77777777" w:rsidR="00C775B2" w:rsidRPr="002C4941" w:rsidRDefault="00C775B2" w:rsidP="00E8353A">
            <w:pPr>
              <w:spacing w:after="0" w:line="240" w:lineRule="auto"/>
              <w:jc w:val="center"/>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гр.7-8</w:t>
            </w:r>
          </w:p>
        </w:tc>
        <w:tc>
          <w:tcPr>
            <w:tcW w:w="4953" w:type="dxa"/>
            <w:vMerge w:val="restart"/>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3D6ED9A2" w14:textId="7EBADF67" w:rsidR="00C775B2" w:rsidRPr="002C4941" w:rsidRDefault="00C775B2"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Первісн</w:t>
            </w:r>
            <w:r w:rsidR="005B4A7A" w:rsidRPr="002C4941">
              <w:rPr>
                <w:rFonts w:ascii="Times New Roman" w:eastAsia="Times New Roman" w:hAnsi="Times New Roman" w:cs="Times New Roman"/>
                <w:color w:val="323842"/>
                <w:sz w:val="20"/>
                <w:szCs w:val="20"/>
                <w:lang w:eastAsia="uk-UA"/>
              </w:rPr>
              <w:t>а</w:t>
            </w:r>
            <w:r w:rsidRPr="002C4941">
              <w:rPr>
                <w:rFonts w:ascii="Times New Roman" w:eastAsia="Times New Roman" w:hAnsi="Times New Roman" w:cs="Times New Roman"/>
                <w:color w:val="323842"/>
                <w:sz w:val="20"/>
                <w:szCs w:val="20"/>
                <w:lang w:eastAsia="uk-UA"/>
              </w:rPr>
              <w:t xml:space="preserve"> вартість об’єктів, які надійшли (вибули) </w:t>
            </w:r>
            <w:r w:rsidR="009C0BDD" w:rsidRPr="002C4941">
              <w:rPr>
                <w:rFonts w:ascii="Times New Roman" w:eastAsia="Times New Roman" w:hAnsi="Times New Roman" w:cs="Times New Roman"/>
                <w:color w:val="323842"/>
                <w:sz w:val="20"/>
                <w:szCs w:val="20"/>
                <w:lang w:eastAsia="uk-UA"/>
              </w:rPr>
              <w:t>відображається</w:t>
            </w:r>
            <w:r w:rsidRPr="002C4941">
              <w:rPr>
                <w:rFonts w:ascii="Times New Roman" w:eastAsia="Times New Roman" w:hAnsi="Times New Roman" w:cs="Times New Roman"/>
                <w:color w:val="323842"/>
                <w:sz w:val="20"/>
                <w:szCs w:val="20"/>
                <w:lang w:eastAsia="uk-UA"/>
              </w:rPr>
              <w:t xml:space="preserve"> у гр. 7 (9), а їхній знос у гр. 8 (10).</w:t>
            </w:r>
          </w:p>
          <w:p w14:paraId="609FE55B" w14:textId="77777777" w:rsidR="00C775B2" w:rsidRPr="002C4941" w:rsidRDefault="00C775B2"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Якщо установа отримала ОЗ за операціями з внутрівідомчої передачі, то суму нарахованої амортизації відображає у гр. 10 «Надійшло за рік, знос», а установа яка передала у гр. 8 «Вибуло» (Роз’яснення ДКСУ*). Додатково інформація розкривається у ряд. 193-194 цього розділу</w:t>
            </w:r>
          </w:p>
        </w:tc>
      </w:tr>
      <w:tr w:rsidR="00C775B2" w:rsidRPr="00E8353A" w14:paraId="005FD629" w14:textId="77777777" w:rsidTr="00E8353A">
        <w:trPr>
          <w:trHeight w:val="20"/>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27E8F5AF" w14:textId="77777777" w:rsidR="00C775B2" w:rsidRPr="002C4941" w:rsidRDefault="00C775B2" w:rsidP="00E8353A">
            <w:pPr>
              <w:spacing w:after="0" w:line="240" w:lineRule="auto"/>
              <w:jc w:val="center"/>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Надійшло</w:t>
            </w:r>
          </w:p>
        </w:tc>
        <w:tc>
          <w:tcPr>
            <w:tcW w:w="144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2F2603EE" w14:textId="77777777" w:rsidR="00C775B2" w:rsidRPr="002C4941" w:rsidRDefault="00C775B2" w:rsidP="00E8353A">
            <w:pPr>
              <w:spacing w:after="0" w:line="240" w:lineRule="auto"/>
              <w:jc w:val="center"/>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гр. 9-10</w:t>
            </w:r>
          </w:p>
        </w:tc>
        <w:tc>
          <w:tcPr>
            <w:tcW w:w="4953" w:type="dxa"/>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07194A1" w14:textId="77777777" w:rsidR="00C775B2" w:rsidRPr="002C4941" w:rsidRDefault="00C775B2" w:rsidP="00E8353A">
            <w:pPr>
              <w:spacing w:after="0" w:line="240" w:lineRule="auto"/>
              <w:jc w:val="both"/>
              <w:rPr>
                <w:rFonts w:ascii="Times New Roman" w:eastAsia="Times New Roman" w:hAnsi="Times New Roman" w:cs="Times New Roman"/>
                <w:color w:val="323842"/>
                <w:sz w:val="20"/>
                <w:szCs w:val="20"/>
                <w:lang w:eastAsia="uk-UA"/>
              </w:rPr>
            </w:pPr>
          </w:p>
        </w:tc>
      </w:tr>
      <w:tr w:rsidR="00C775B2" w:rsidRPr="00E8353A" w14:paraId="0688CBBC" w14:textId="77777777" w:rsidTr="00E8353A">
        <w:trPr>
          <w:trHeight w:val="20"/>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77A7850F" w14:textId="77777777" w:rsidR="00C775B2" w:rsidRPr="002C4941" w:rsidRDefault="00C775B2" w:rsidP="00E8353A">
            <w:pPr>
              <w:spacing w:after="0" w:line="240" w:lineRule="auto"/>
              <w:jc w:val="center"/>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Зменшення корисності</w:t>
            </w:r>
          </w:p>
        </w:tc>
        <w:tc>
          <w:tcPr>
            <w:tcW w:w="144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70A88A0F" w14:textId="77777777" w:rsidR="00C775B2" w:rsidRPr="002C4941" w:rsidRDefault="00C775B2" w:rsidP="00E8353A">
            <w:pPr>
              <w:spacing w:after="0" w:line="240" w:lineRule="auto"/>
              <w:jc w:val="center"/>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гр. 11-12</w:t>
            </w:r>
          </w:p>
        </w:tc>
        <w:tc>
          <w:tcPr>
            <w:tcW w:w="495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0CC5422F" w14:textId="2E6AE3E2" w:rsidR="00C775B2" w:rsidRPr="002C4941" w:rsidRDefault="00C775B2"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 xml:space="preserve">Більшість установ тестування на зменшення корисності не проводять, хоча й є правила щодо нього у </w:t>
            </w:r>
            <w:hyperlink r:id="rId9" w:anchor="Text" w:tgtFrame="_blank" w:history="1">
              <w:r w:rsidRPr="002C4941">
                <w:rPr>
                  <w:rFonts w:ascii="Times New Roman" w:eastAsia="Times New Roman" w:hAnsi="Times New Roman" w:cs="Times New Roman"/>
                  <w:color w:val="0000FF"/>
                  <w:sz w:val="20"/>
                  <w:szCs w:val="20"/>
                  <w:u w:val="single"/>
                  <w:lang w:eastAsia="uk-UA"/>
                </w:rPr>
                <w:t>НП(С)БОДС 127 «Зменшення корисності активів»</w:t>
              </w:r>
            </w:hyperlink>
            <w:r w:rsidRPr="002C4941">
              <w:rPr>
                <w:rFonts w:ascii="Times New Roman" w:eastAsia="Times New Roman" w:hAnsi="Times New Roman" w:cs="Times New Roman"/>
                <w:color w:val="323842"/>
                <w:sz w:val="20"/>
                <w:szCs w:val="20"/>
                <w:lang w:eastAsia="uk-UA"/>
              </w:rPr>
              <w:t xml:space="preserve">. Якщо </w:t>
            </w:r>
            <w:r w:rsidR="005B4A7A" w:rsidRPr="002C4941">
              <w:rPr>
                <w:rFonts w:ascii="Times New Roman" w:eastAsia="Times New Roman" w:hAnsi="Times New Roman" w:cs="Times New Roman"/>
                <w:color w:val="323842"/>
                <w:sz w:val="20"/>
                <w:szCs w:val="20"/>
                <w:lang w:eastAsia="uk-UA"/>
              </w:rPr>
              <w:t>воно</w:t>
            </w:r>
            <w:r w:rsidRPr="002C4941">
              <w:rPr>
                <w:rFonts w:ascii="Times New Roman" w:eastAsia="Times New Roman" w:hAnsi="Times New Roman" w:cs="Times New Roman"/>
                <w:color w:val="323842"/>
                <w:sz w:val="20"/>
                <w:szCs w:val="20"/>
                <w:lang w:eastAsia="uk-UA"/>
              </w:rPr>
              <w:t xml:space="preserve"> проводил</w:t>
            </w:r>
            <w:r w:rsidR="005B4A7A" w:rsidRPr="002C4941">
              <w:rPr>
                <w:rFonts w:ascii="Times New Roman" w:eastAsia="Times New Roman" w:hAnsi="Times New Roman" w:cs="Times New Roman"/>
                <w:color w:val="323842"/>
                <w:sz w:val="20"/>
                <w:szCs w:val="20"/>
                <w:lang w:eastAsia="uk-UA"/>
              </w:rPr>
              <w:t>ося</w:t>
            </w:r>
            <w:r w:rsidRPr="002C4941">
              <w:rPr>
                <w:rFonts w:ascii="Times New Roman" w:eastAsia="Times New Roman" w:hAnsi="Times New Roman" w:cs="Times New Roman"/>
                <w:color w:val="323842"/>
                <w:sz w:val="20"/>
                <w:szCs w:val="20"/>
                <w:lang w:eastAsia="uk-UA"/>
              </w:rPr>
              <w:t xml:space="preserve">, то </w:t>
            </w:r>
            <w:r w:rsidR="005B4A7A" w:rsidRPr="002C4941">
              <w:rPr>
                <w:rFonts w:ascii="Times New Roman" w:eastAsia="Times New Roman" w:hAnsi="Times New Roman" w:cs="Times New Roman"/>
                <w:color w:val="323842"/>
                <w:sz w:val="20"/>
                <w:szCs w:val="20"/>
                <w:lang w:eastAsia="uk-UA"/>
              </w:rPr>
              <w:t>відображається</w:t>
            </w:r>
            <w:r w:rsidRPr="002C4941">
              <w:rPr>
                <w:rFonts w:ascii="Times New Roman" w:eastAsia="Times New Roman" w:hAnsi="Times New Roman" w:cs="Times New Roman"/>
                <w:color w:val="323842"/>
                <w:sz w:val="20"/>
                <w:szCs w:val="20"/>
                <w:lang w:eastAsia="uk-UA"/>
              </w:rPr>
              <w:t xml:space="preserve"> збільшення або відновлення первісної вартості (гр. 11) та зносу (гр. 12). Провести зменшення корисності можна, наприклад при зменшенні ринкової вартості активу. На відміну від переоцінки воно не потребує залучення експерта-оцінювача й може бути здійснена на основі розрахунків самого бухгалтера</w:t>
            </w:r>
          </w:p>
        </w:tc>
      </w:tr>
      <w:tr w:rsidR="00C775B2" w:rsidRPr="00E8353A" w14:paraId="748F4396" w14:textId="77777777" w:rsidTr="00E8353A">
        <w:trPr>
          <w:trHeight w:val="20"/>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48FCA9C9" w14:textId="77777777" w:rsidR="00C775B2" w:rsidRPr="002C4941" w:rsidRDefault="00C775B2" w:rsidP="00E8353A">
            <w:pPr>
              <w:spacing w:after="0" w:line="240" w:lineRule="auto"/>
              <w:jc w:val="center"/>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Інші зміни за рік</w:t>
            </w:r>
          </w:p>
        </w:tc>
        <w:tc>
          <w:tcPr>
            <w:tcW w:w="144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200A7098" w14:textId="77777777" w:rsidR="00C775B2" w:rsidRPr="002C4941" w:rsidRDefault="00C775B2" w:rsidP="00E8353A">
            <w:pPr>
              <w:spacing w:after="0" w:line="240" w:lineRule="auto"/>
              <w:jc w:val="center"/>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гр. 13-14</w:t>
            </w:r>
          </w:p>
        </w:tc>
        <w:tc>
          <w:tcPr>
            <w:tcW w:w="495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4B8E3243" w14:textId="77777777" w:rsidR="00C775B2" w:rsidRPr="002C4941" w:rsidRDefault="00C775B2"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Це зміни первісної вартості (гр. 13) та зносу (гр. 14), наприклад внаслідок проведення поліпшення, модернізації, реконструкції основних засобів, переведення операційної нерухомості до складу інвестиційної нерухомості, може бути також певні виправлення внаслідок уточнення первісної вартості об’єкта тощо.</w:t>
            </w:r>
          </w:p>
          <w:p w14:paraId="292B1347" w14:textId="77777777" w:rsidR="00C775B2" w:rsidRPr="002C4941" w:rsidRDefault="00C775B2"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Тут же відображається ліквідаційна вартість, яка визначена у звітному році, відображається (гр. 13) (Роз’яснення ДКСУ*)</w:t>
            </w:r>
          </w:p>
        </w:tc>
      </w:tr>
      <w:tr w:rsidR="00C775B2" w:rsidRPr="00E8353A" w14:paraId="13560D1F" w14:textId="77777777" w:rsidTr="00E8353A">
        <w:trPr>
          <w:trHeight w:val="20"/>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3720C58F" w14:textId="77777777" w:rsidR="00C775B2" w:rsidRPr="002C4941" w:rsidRDefault="00C775B2" w:rsidP="00E8353A">
            <w:pPr>
              <w:spacing w:after="0" w:line="240" w:lineRule="auto"/>
              <w:jc w:val="center"/>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Залишок на кінець року</w:t>
            </w:r>
          </w:p>
        </w:tc>
        <w:tc>
          <w:tcPr>
            <w:tcW w:w="144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7F47C05C" w14:textId="77777777" w:rsidR="00C775B2" w:rsidRPr="002C4941" w:rsidRDefault="00C775B2" w:rsidP="00E8353A">
            <w:pPr>
              <w:spacing w:after="0" w:line="240" w:lineRule="auto"/>
              <w:jc w:val="center"/>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гр. 15-16</w:t>
            </w:r>
          </w:p>
        </w:tc>
        <w:tc>
          <w:tcPr>
            <w:tcW w:w="495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7EAB7936" w14:textId="14AB9A59" w:rsidR="00C775B2" w:rsidRPr="002C4941" w:rsidRDefault="00112484" w:rsidP="00112484">
            <w:pPr>
              <w:spacing w:after="0" w:line="240" w:lineRule="auto"/>
              <w:jc w:val="center"/>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у</w:t>
            </w:r>
            <w:r w:rsidR="00C775B2" w:rsidRPr="002C4941">
              <w:rPr>
                <w:rFonts w:ascii="Times New Roman" w:eastAsia="Times New Roman" w:hAnsi="Times New Roman" w:cs="Times New Roman"/>
                <w:color w:val="323842"/>
                <w:sz w:val="20"/>
                <w:szCs w:val="20"/>
                <w:lang w:eastAsia="uk-UA"/>
              </w:rPr>
              <w:t>се аналогічно залишку на початок (</w:t>
            </w:r>
            <w:r w:rsidR="00C775B2" w:rsidRPr="002C4941">
              <w:rPr>
                <w:rFonts w:ascii="Times New Roman" w:eastAsia="Times New Roman" w:hAnsi="Times New Roman" w:cs="Times New Roman"/>
                <w:i/>
                <w:iCs/>
                <w:color w:val="323842"/>
                <w:sz w:val="20"/>
                <w:szCs w:val="20"/>
                <w:lang w:eastAsia="uk-UA"/>
              </w:rPr>
              <w:t>див. вище</w:t>
            </w:r>
            <w:r w:rsidR="00C775B2" w:rsidRPr="002C4941">
              <w:rPr>
                <w:rFonts w:ascii="Times New Roman" w:eastAsia="Times New Roman" w:hAnsi="Times New Roman" w:cs="Times New Roman"/>
                <w:color w:val="323842"/>
                <w:sz w:val="20"/>
                <w:szCs w:val="20"/>
                <w:lang w:eastAsia="uk-UA"/>
              </w:rPr>
              <w:t>)</w:t>
            </w:r>
          </w:p>
        </w:tc>
      </w:tr>
      <w:tr w:rsidR="00C775B2" w:rsidRPr="00E8353A" w14:paraId="556D3667" w14:textId="77777777" w:rsidTr="00E8353A">
        <w:trPr>
          <w:trHeight w:val="20"/>
        </w:trPr>
        <w:tc>
          <w:tcPr>
            <w:tcW w:w="4670"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67422584" w14:textId="77777777" w:rsidR="00C775B2" w:rsidRPr="002C4941" w:rsidRDefault="00C775B2"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b/>
                <w:bCs/>
                <w:color w:val="323842"/>
                <w:sz w:val="20"/>
                <w:szCs w:val="20"/>
                <w:lang w:eastAsia="uk-UA"/>
              </w:rPr>
              <w:t>Діапазон корисного використання</w:t>
            </w:r>
          </w:p>
        </w:tc>
        <w:tc>
          <w:tcPr>
            <w:tcW w:w="495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6FA62F30" w14:textId="77777777" w:rsidR="00C775B2" w:rsidRPr="002C4941" w:rsidRDefault="00C775B2" w:rsidP="00E8353A">
            <w:pPr>
              <w:spacing w:after="0" w:line="240" w:lineRule="auto"/>
              <w:jc w:val="both"/>
              <w:rPr>
                <w:rFonts w:ascii="Times New Roman" w:eastAsia="Times New Roman" w:hAnsi="Times New Roman" w:cs="Times New Roman"/>
                <w:color w:val="323842"/>
                <w:sz w:val="20"/>
                <w:szCs w:val="20"/>
                <w:lang w:eastAsia="uk-UA"/>
              </w:rPr>
            </w:pPr>
          </w:p>
        </w:tc>
      </w:tr>
      <w:tr w:rsidR="00C775B2" w:rsidRPr="00E8353A" w14:paraId="48201FFA" w14:textId="77777777" w:rsidTr="00E8353A">
        <w:trPr>
          <w:trHeight w:val="20"/>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59CCF1E5" w14:textId="77777777" w:rsidR="00C775B2" w:rsidRPr="002C4941" w:rsidRDefault="00C775B2" w:rsidP="00E8353A">
            <w:pPr>
              <w:spacing w:after="0" w:line="240" w:lineRule="auto"/>
              <w:jc w:val="center"/>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від</w:t>
            </w:r>
          </w:p>
        </w:tc>
        <w:tc>
          <w:tcPr>
            <w:tcW w:w="144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2668CE49" w14:textId="77777777" w:rsidR="00C775B2" w:rsidRPr="002C4941" w:rsidRDefault="00C775B2" w:rsidP="00E8353A">
            <w:pPr>
              <w:spacing w:after="0" w:line="240" w:lineRule="auto"/>
              <w:jc w:val="center"/>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гр. 17</w:t>
            </w:r>
          </w:p>
        </w:tc>
        <w:tc>
          <w:tcPr>
            <w:tcW w:w="495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1DBE962C" w14:textId="07E6CE24" w:rsidR="00C775B2" w:rsidRPr="002C4941" w:rsidRDefault="005B4A7A"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Вказуються</w:t>
            </w:r>
            <w:r w:rsidR="00C775B2" w:rsidRPr="002C4941">
              <w:rPr>
                <w:rFonts w:ascii="Times New Roman" w:eastAsia="Times New Roman" w:hAnsi="Times New Roman" w:cs="Times New Roman"/>
                <w:color w:val="323842"/>
                <w:sz w:val="20"/>
                <w:szCs w:val="20"/>
                <w:lang w:eastAsia="uk-UA"/>
              </w:rPr>
              <w:t xml:space="preserve"> мінімальні строки корисного використання за кожною з груп активів. </w:t>
            </w:r>
            <w:r w:rsidRPr="002C4941">
              <w:rPr>
                <w:rFonts w:ascii="Times New Roman" w:eastAsia="Times New Roman" w:hAnsi="Times New Roman" w:cs="Times New Roman"/>
                <w:color w:val="323842"/>
                <w:sz w:val="20"/>
                <w:szCs w:val="20"/>
                <w:lang w:eastAsia="uk-UA"/>
              </w:rPr>
              <w:t>Рекомендується</w:t>
            </w:r>
            <w:r w:rsidR="00C775B2" w:rsidRPr="002C4941">
              <w:rPr>
                <w:rFonts w:ascii="Times New Roman" w:eastAsia="Times New Roman" w:hAnsi="Times New Roman" w:cs="Times New Roman"/>
                <w:color w:val="323842"/>
                <w:sz w:val="20"/>
                <w:szCs w:val="20"/>
                <w:lang w:eastAsia="uk-UA"/>
              </w:rPr>
              <w:t xml:space="preserve"> взяти з наказу про облікову політику ті строки, які використовуються для амортизації</w:t>
            </w:r>
            <w:r w:rsidR="00711A94" w:rsidRPr="002C4941">
              <w:rPr>
                <w:rFonts w:ascii="Times New Roman" w:eastAsia="Times New Roman" w:hAnsi="Times New Roman" w:cs="Times New Roman"/>
                <w:color w:val="323842"/>
                <w:sz w:val="20"/>
                <w:szCs w:val="20"/>
                <w:lang w:eastAsia="uk-UA"/>
              </w:rPr>
              <w:t xml:space="preserve"> </w:t>
            </w:r>
            <w:r w:rsidR="00C775B2" w:rsidRPr="002C4941">
              <w:rPr>
                <w:rFonts w:ascii="Times New Roman" w:eastAsia="Times New Roman" w:hAnsi="Times New Roman" w:cs="Times New Roman"/>
                <w:color w:val="323842"/>
                <w:sz w:val="20"/>
                <w:szCs w:val="20"/>
                <w:lang w:eastAsia="uk-UA"/>
              </w:rPr>
              <w:t>(Роз’яснення ДКСУ*). Щодо МНМА, то за ними строки використання, як правило, не визначаються. У сумі за ряд. 180 слід навести мінімальну цифру за всією цією колонкою.</w:t>
            </w:r>
          </w:p>
          <w:p w14:paraId="3393CCAF" w14:textId="5D518534" w:rsidR="00C775B2" w:rsidRPr="002C4941" w:rsidRDefault="00C775B2"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Діапазон корисного використання визначається в роках</w:t>
            </w:r>
            <w:r w:rsidR="00711A94" w:rsidRPr="002C4941">
              <w:rPr>
                <w:rFonts w:ascii="Times New Roman" w:eastAsia="Times New Roman" w:hAnsi="Times New Roman" w:cs="Times New Roman"/>
                <w:color w:val="323842"/>
                <w:sz w:val="20"/>
                <w:szCs w:val="20"/>
                <w:lang w:eastAsia="uk-UA"/>
              </w:rPr>
              <w:t xml:space="preserve"> </w:t>
            </w:r>
            <w:r w:rsidRPr="002C4941">
              <w:rPr>
                <w:rFonts w:ascii="Times New Roman" w:eastAsia="Times New Roman" w:hAnsi="Times New Roman" w:cs="Times New Roman"/>
                <w:color w:val="323842"/>
                <w:sz w:val="20"/>
                <w:szCs w:val="20"/>
                <w:lang w:eastAsia="uk-UA"/>
              </w:rPr>
              <w:t xml:space="preserve">(Роз’яснення ДКСУ*). Типові строки корисного використання основних засобів суб'єктів державного сектору наведені у </w:t>
            </w:r>
            <w:hyperlink r:id="rId10" w:anchor="n598" w:history="1">
              <w:r w:rsidRPr="002C4941">
                <w:rPr>
                  <w:rStyle w:val="a3"/>
                  <w:rFonts w:ascii="Times New Roman" w:eastAsia="Times New Roman" w:hAnsi="Times New Roman" w:cs="Times New Roman"/>
                  <w:sz w:val="20"/>
                  <w:szCs w:val="20"/>
                  <w:lang w:eastAsia="uk-UA"/>
                </w:rPr>
                <w:t>Додатку 1</w:t>
              </w:r>
            </w:hyperlink>
            <w:r w:rsidRPr="002C4941">
              <w:rPr>
                <w:rFonts w:ascii="Times New Roman" w:eastAsia="Times New Roman" w:hAnsi="Times New Roman" w:cs="Times New Roman"/>
                <w:color w:val="323842"/>
                <w:sz w:val="20"/>
                <w:szCs w:val="20"/>
                <w:lang w:eastAsia="uk-UA"/>
              </w:rPr>
              <w:t xml:space="preserve"> до </w:t>
            </w:r>
            <w:hyperlink r:id="rId11" w:anchor="n550" w:tgtFrame="_blank" w:history="1">
              <w:r w:rsidRPr="002C4941">
                <w:rPr>
                  <w:rFonts w:ascii="Times New Roman" w:eastAsia="Times New Roman" w:hAnsi="Times New Roman" w:cs="Times New Roman"/>
                  <w:color w:val="0000FF"/>
                  <w:sz w:val="20"/>
                  <w:szCs w:val="20"/>
                  <w:u w:val="single"/>
                  <w:lang w:eastAsia="uk-UA"/>
                </w:rPr>
                <w:t xml:space="preserve">Методичних рекомендацій щодо облікової політики </w:t>
              </w:r>
              <w:r w:rsidR="00112484" w:rsidRPr="002C4941">
                <w:rPr>
                  <w:rFonts w:ascii="Times New Roman" w:eastAsia="Times New Roman" w:hAnsi="Times New Roman" w:cs="Times New Roman"/>
                  <w:color w:val="0000FF"/>
                  <w:sz w:val="20"/>
                  <w:szCs w:val="20"/>
                  <w:u w:val="single"/>
                  <w:lang w:eastAsia="uk-UA"/>
                </w:rPr>
                <w:t>суб’єкта</w:t>
              </w:r>
              <w:r w:rsidRPr="002C4941">
                <w:rPr>
                  <w:rFonts w:ascii="Times New Roman" w:eastAsia="Times New Roman" w:hAnsi="Times New Roman" w:cs="Times New Roman"/>
                  <w:color w:val="0000FF"/>
                  <w:sz w:val="20"/>
                  <w:szCs w:val="20"/>
                  <w:u w:val="single"/>
                  <w:lang w:eastAsia="uk-UA"/>
                </w:rPr>
                <w:t xml:space="preserve"> державного сектору</w:t>
              </w:r>
            </w:hyperlink>
            <w:r w:rsidRPr="002C4941">
              <w:rPr>
                <w:rFonts w:ascii="Times New Roman" w:eastAsia="Times New Roman" w:hAnsi="Times New Roman" w:cs="Times New Roman"/>
                <w:color w:val="323842"/>
                <w:sz w:val="20"/>
                <w:szCs w:val="20"/>
                <w:lang w:eastAsia="uk-UA"/>
              </w:rPr>
              <w:t>, які затверджені наказом Мінфіну від 23.01.2015 р. № 11</w:t>
            </w:r>
          </w:p>
        </w:tc>
      </w:tr>
      <w:tr w:rsidR="00C775B2" w:rsidRPr="00E8353A" w14:paraId="32815C60" w14:textId="77777777" w:rsidTr="00E8353A">
        <w:trPr>
          <w:trHeight w:val="20"/>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1377A1D3" w14:textId="77777777" w:rsidR="00C775B2" w:rsidRPr="002C4941" w:rsidRDefault="00C775B2" w:rsidP="00E8353A">
            <w:pPr>
              <w:spacing w:after="0" w:line="240" w:lineRule="auto"/>
              <w:jc w:val="center"/>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До</w:t>
            </w:r>
          </w:p>
        </w:tc>
        <w:tc>
          <w:tcPr>
            <w:tcW w:w="144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6F87D39F" w14:textId="77777777" w:rsidR="00C775B2" w:rsidRPr="002C4941" w:rsidRDefault="00C775B2" w:rsidP="00E8353A">
            <w:pPr>
              <w:spacing w:after="0" w:line="240" w:lineRule="auto"/>
              <w:jc w:val="center"/>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гр. 18</w:t>
            </w:r>
          </w:p>
        </w:tc>
        <w:tc>
          <w:tcPr>
            <w:tcW w:w="495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48CE6EE6" w14:textId="45E4A605" w:rsidR="00C775B2" w:rsidRPr="002C4941" w:rsidRDefault="005B4A7A"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Вказується</w:t>
            </w:r>
            <w:r w:rsidR="00C775B2" w:rsidRPr="002C4941">
              <w:rPr>
                <w:rFonts w:ascii="Times New Roman" w:eastAsia="Times New Roman" w:hAnsi="Times New Roman" w:cs="Times New Roman"/>
                <w:color w:val="323842"/>
                <w:sz w:val="20"/>
                <w:szCs w:val="20"/>
                <w:lang w:eastAsia="uk-UA"/>
              </w:rPr>
              <w:t xml:space="preserve"> максимальний строк використання за кожною з груп активів. Такі строки, як правило, ніхто не визначає. Якщо вони відсутні у документах на введення в експлуатацію, то можна поставити прочерки. Ставити ж їх навмання немає ніякого сенсу. У сумі за ряд. 180 слід навести максимальну цифру за всією цією колонкою</w:t>
            </w:r>
          </w:p>
        </w:tc>
      </w:tr>
      <w:tr w:rsidR="00C775B2" w:rsidRPr="00E8353A" w14:paraId="5FAACE75" w14:textId="77777777" w:rsidTr="00E8353A">
        <w:trPr>
          <w:trHeight w:val="20"/>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27C19B27" w14:textId="77777777" w:rsidR="00C775B2" w:rsidRPr="002C4941" w:rsidRDefault="00C775B2" w:rsidP="00E8353A">
            <w:pPr>
              <w:spacing w:after="0" w:line="240" w:lineRule="auto"/>
              <w:jc w:val="center"/>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Усього</w:t>
            </w:r>
          </w:p>
        </w:tc>
        <w:tc>
          <w:tcPr>
            <w:tcW w:w="144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0231415A" w14:textId="6AD56829" w:rsidR="00C775B2" w:rsidRPr="002C4941" w:rsidRDefault="00C775B2" w:rsidP="00E8353A">
            <w:pPr>
              <w:spacing w:after="0" w:line="240" w:lineRule="auto"/>
              <w:jc w:val="center"/>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ряд.</w:t>
            </w:r>
            <w:r w:rsidR="00E8353A" w:rsidRPr="002C4941">
              <w:rPr>
                <w:rFonts w:ascii="Times New Roman" w:eastAsia="Times New Roman" w:hAnsi="Times New Roman" w:cs="Times New Roman"/>
                <w:color w:val="323842"/>
                <w:sz w:val="20"/>
                <w:szCs w:val="20"/>
                <w:lang w:eastAsia="uk-UA"/>
              </w:rPr>
              <w:t> </w:t>
            </w:r>
            <w:r w:rsidRPr="002C4941">
              <w:rPr>
                <w:rFonts w:ascii="Times New Roman" w:eastAsia="Times New Roman" w:hAnsi="Times New Roman" w:cs="Times New Roman"/>
                <w:color w:val="323842"/>
                <w:sz w:val="20"/>
                <w:szCs w:val="20"/>
                <w:lang w:eastAsia="uk-UA"/>
              </w:rPr>
              <w:t>180</w:t>
            </w:r>
          </w:p>
        </w:tc>
        <w:tc>
          <w:tcPr>
            <w:tcW w:w="495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36A4CA79" w14:textId="31219962" w:rsidR="00C775B2" w:rsidRPr="002C4941" w:rsidRDefault="00711A94"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с</w:t>
            </w:r>
            <w:r w:rsidR="00C775B2" w:rsidRPr="002C4941">
              <w:rPr>
                <w:rFonts w:ascii="Times New Roman" w:eastAsia="Times New Roman" w:hAnsi="Times New Roman" w:cs="Times New Roman"/>
                <w:color w:val="323842"/>
                <w:sz w:val="20"/>
                <w:szCs w:val="20"/>
                <w:lang w:eastAsia="uk-UA"/>
              </w:rPr>
              <w:t>уми мають бути за:</w:t>
            </w:r>
          </w:p>
          <w:p w14:paraId="6AF86750" w14:textId="77777777" w:rsidR="00C775B2" w:rsidRPr="002C4941" w:rsidRDefault="00C775B2" w:rsidP="00E8353A">
            <w:pPr>
              <w:numPr>
                <w:ilvl w:val="0"/>
                <w:numId w:val="6"/>
              </w:num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lastRenderedPageBreak/>
              <w:t xml:space="preserve">первісною вартістю у гр. 3 (гр. 15) – співпадати з ряд. 1001 + 1010 гр. 3 (гр. 4) </w:t>
            </w:r>
            <w:hyperlink r:id="rId12" w:tgtFrame="_blank" w:history="1">
              <w:r w:rsidRPr="002C4941">
                <w:rPr>
                  <w:rFonts w:ascii="Times New Roman" w:eastAsia="Times New Roman" w:hAnsi="Times New Roman" w:cs="Times New Roman"/>
                  <w:color w:val="0000FF"/>
                  <w:sz w:val="20"/>
                  <w:szCs w:val="20"/>
                  <w:u w:val="single"/>
                  <w:lang w:eastAsia="uk-UA"/>
                </w:rPr>
                <w:t>форми № 1-дс</w:t>
              </w:r>
            </w:hyperlink>
          </w:p>
          <w:p w14:paraId="56A0535C" w14:textId="77777777" w:rsidR="00C775B2" w:rsidRPr="002C4941" w:rsidRDefault="00C775B2" w:rsidP="00E8353A">
            <w:pPr>
              <w:numPr>
                <w:ilvl w:val="0"/>
                <w:numId w:val="6"/>
              </w:num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зносом у гр. 4 (гр. 16) – співпадати з ряд. 1002 + 1012 гр. 3 (гр. 4) форми № 1-дс</w:t>
            </w:r>
          </w:p>
        </w:tc>
      </w:tr>
      <w:tr w:rsidR="00C775B2" w:rsidRPr="00E8353A" w14:paraId="34721244" w14:textId="77777777" w:rsidTr="00E8353A">
        <w:trPr>
          <w:trHeight w:val="20"/>
        </w:trPr>
        <w:tc>
          <w:tcPr>
            <w:tcW w:w="4670"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36BF36C5" w14:textId="77777777" w:rsidR="00C775B2" w:rsidRPr="002C4941" w:rsidRDefault="00C775B2" w:rsidP="00E8353A">
            <w:pPr>
              <w:spacing w:after="0" w:line="240" w:lineRule="auto"/>
              <w:jc w:val="center"/>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b/>
                <w:bCs/>
                <w:color w:val="323842"/>
                <w:sz w:val="20"/>
                <w:szCs w:val="20"/>
                <w:lang w:eastAsia="uk-UA"/>
              </w:rPr>
              <w:lastRenderedPageBreak/>
              <w:t>Додаткові рядки</w:t>
            </w:r>
          </w:p>
        </w:tc>
        <w:tc>
          <w:tcPr>
            <w:tcW w:w="495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60A4FC5B" w14:textId="77777777" w:rsidR="00C775B2" w:rsidRPr="002C4941" w:rsidRDefault="00C775B2" w:rsidP="00E8353A">
            <w:pPr>
              <w:spacing w:after="0" w:line="240" w:lineRule="auto"/>
              <w:jc w:val="center"/>
              <w:rPr>
                <w:rFonts w:ascii="Times New Roman" w:eastAsia="Times New Roman" w:hAnsi="Times New Roman" w:cs="Times New Roman"/>
                <w:color w:val="323842"/>
                <w:sz w:val="20"/>
                <w:szCs w:val="20"/>
                <w:lang w:eastAsia="uk-UA"/>
              </w:rPr>
            </w:pPr>
          </w:p>
        </w:tc>
      </w:tr>
      <w:tr w:rsidR="00C775B2" w:rsidRPr="00E8353A" w14:paraId="2F4B4599" w14:textId="77777777" w:rsidTr="00E8353A">
        <w:trPr>
          <w:trHeight w:val="20"/>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17338110" w14:textId="77777777" w:rsidR="00C775B2" w:rsidRPr="002C4941" w:rsidRDefault="00C775B2"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Вартість ОЗ, які вибули (безплатна передача, продаж, крадіжка, нестача, списання як непридатних)</w:t>
            </w:r>
          </w:p>
        </w:tc>
        <w:tc>
          <w:tcPr>
            <w:tcW w:w="144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2DEB0BCB" w14:textId="77777777" w:rsidR="00C775B2" w:rsidRPr="002C4941" w:rsidRDefault="00C775B2" w:rsidP="00E8353A">
            <w:pPr>
              <w:spacing w:after="0" w:line="240" w:lineRule="auto"/>
              <w:jc w:val="center"/>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181-185</w:t>
            </w:r>
          </w:p>
        </w:tc>
        <w:tc>
          <w:tcPr>
            <w:tcW w:w="495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2D304171" w14:textId="5A173997" w:rsidR="00C775B2" w:rsidRPr="002C4941" w:rsidRDefault="009C0BDD"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 xml:space="preserve">заповнюється </w:t>
            </w:r>
            <w:r w:rsidR="00C775B2" w:rsidRPr="002C4941">
              <w:rPr>
                <w:rFonts w:ascii="Times New Roman" w:eastAsia="Times New Roman" w:hAnsi="Times New Roman" w:cs="Times New Roman"/>
                <w:color w:val="323842"/>
                <w:sz w:val="20"/>
                <w:szCs w:val="20"/>
                <w:lang w:eastAsia="uk-UA"/>
              </w:rPr>
              <w:t>на основі оборотних відомостей або й первинних документів, якщо основні засоби вибувати з вказаних причин</w:t>
            </w:r>
          </w:p>
        </w:tc>
      </w:tr>
      <w:tr w:rsidR="00C775B2" w:rsidRPr="00E8353A" w14:paraId="789C619D" w14:textId="77777777" w:rsidTr="00E8353A">
        <w:trPr>
          <w:trHeight w:val="20"/>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75B9C53D" w14:textId="77777777" w:rsidR="00C775B2" w:rsidRPr="002C4941" w:rsidRDefault="00C775B2"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збільшення вартості ОЗ внаслідок придбання, реконструкції (добудови, дообладнання), безплатного отримання, отримання благодійних грантів, дарунків</w:t>
            </w:r>
          </w:p>
        </w:tc>
        <w:tc>
          <w:tcPr>
            <w:tcW w:w="144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72D09A03" w14:textId="77777777" w:rsidR="00C775B2" w:rsidRPr="002C4941" w:rsidRDefault="00C775B2" w:rsidP="00E8353A">
            <w:pPr>
              <w:spacing w:after="0" w:line="240" w:lineRule="auto"/>
              <w:jc w:val="center"/>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186-189</w:t>
            </w:r>
          </w:p>
        </w:tc>
        <w:tc>
          <w:tcPr>
            <w:tcW w:w="495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47B151D0" w14:textId="37511BB5" w:rsidR="00C775B2" w:rsidRPr="002C4941" w:rsidRDefault="009C0BDD"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 xml:space="preserve">заповнюється </w:t>
            </w:r>
            <w:r w:rsidR="00C775B2" w:rsidRPr="002C4941">
              <w:rPr>
                <w:rFonts w:ascii="Times New Roman" w:eastAsia="Times New Roman" w:hAnsi="Times New Roman" w:cs="Times New Roman"/>
                <w:color w:val="323842"/>
                <w:sz w:val="20"/>
                <w:szCs w:val="20"/>
                <w:lang w:eastAsia="uk-UA"/>
              </w:rPr>
              <w:t>на основі оборотних відомостей або й первинних документів, якщо основні засоби надходили з вказаних причин</w:t>
            </w:r>
          </w:p>
        </w:tc>
      </w:tr>
      <w:tr w:rsidR="00C775B2" w:rsidRPr="00E8353A" w14:paraId="424586EA" w14:textId="77777777" w:rsidTr="00E8353A">
        <w:trPr>
          <w:trHeight w:val="20"/>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2259C810" w14:textId="77777777" w:rsidR="00C775B2" w:rsidRPr="002C4941" w:rsidRDefault="00C775B2"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вартість ОЗ, щодо яких існують передбачені чинним законодавством обмеження права власності, користування та розпорядження</w:t>
            </w:r>
          </w:p>
        </w:tc>
        <w:tc>
          <w:tcPr>
            <w:tcW w:w="144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695CC362" w14:textId="77777777" w:rsidR="00C775B2" w:rsidRPr="002C4941" w:rsidRDefault="00C775B2" w:rsidP="00E8353A">
            <w:pPr>
              <w:spacing w:after="0" w:line="240" w:lineRule="auto"/>
              <w:jc w:val="center"/>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190</w:t>
            </w:r>
          </w:p>
        </w:tc>
        <w:tc>
          <w:tcPr>
            <w:tcW w:w="495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26C081EF" w14:textId="2B82BE8D" w:rsidR="00C775B2" w:rsidRPr="002C4941" w:rsidRDefault="009C0BDD"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Заповнюється</w:t>
            </w:r>
            <w:r w:rsidR="00C775B2" w:rsidRPr="002C4941">
              <w:rPr>
                <w:rFonts w:ascii="Times New Roman" w:eastAsia="Times New Roman" w:hAnsi="Times New Roman" w:cs="Times New Roman"/>
                <w:color w:val="323842"/>
                <w:sz w:val="20"/>
                <w:szCs w:val="20"/>
                <w:lang w:eastAsia="uk-UA"/>
              </w:rPr>
              <w:t xml:space="preserve"> лише тоді, коли в установи є документи, на підставі яких такі обмежувальні заходи були впроваджені. Так як іншого не вказано, то </w:t>
            </w:r>
            <w:r w:rsidRPr="002C4941">
              <w:rPr>
                <w:rFonts w:ascii="Times New Roman" w:eastAsia="Times New Roman" w:hAnsi="Times New Roman" w:cs="Times New Roman"/>
                <w:color w:val="323842"/>
                <w:sz w:val="20"/>
                <w:szCs w:val="20"/>
                <w:lang w:eastAsia="uk-UA"/>
              </w:rPr>
              <w:t>використовується</w:t>
            </w:r>
            <w:r w:rsidR="00C775B2" w:rsidRPr="002C4941">
              <w:rPr>
                <w:rFonts w:ascii="Times New Roman" w:eastAsia="Times New Roman" w:hAnsi="Times New Roman" w:cs="Times New Roman"/>
                <w:color w:val="323842"/>
                <w:sz w:val="20"/>
                <w:szCs w:val="20"/>
                <w:lang w:eastAsia="uk-UA"/>
              </w:rPr>
              <w:t xml:space="preserve"> первісн</w:t>
            </w:r>
            <w:r w:rsidRPr="002C4941">
              <w:rPr>
                <w:rFonts w:ascii="Times New Roman" w:eastAsia="Times New Roman" w:hAnsi="Times New Roman" w:cs="Times New Roman"/>
                <w:color w:val="323842"/>
                <w:sz w:val="20"/>
                <w:szCs w:val="20"/>
                <w:lang w:eastAsia="uk-UA"/>
              </w:rPr>
              <w:t>а</w:t>
            </w:r>
            <w:r w:rsidR="00C775B2" w:rsidRPr="002C4941">
              <w:rPr>
                <w:rFonts w:ascii="Times New Roman" w:eastAsia="Times New Roman" w:hAnsi="Times New Roman" w:cs="Times New Roman"/>
                <w:color w:val="323842"/>
                <w:sz w:val="20"/>
                <w:szCs w:val="20"/>
                <w:lang w:eastAsia="uk-UA"/>
              </w:rPr>
              <w:t xml:space="preserve"> вартість. Також за цими об’єктами </w:t>
            </w:r>
            <w:r w:rsidRPr="002C4941">
              <w:rPr>
                <w:rFonts w:ascii="Times New Roman" w:eastAsia="Times New Roman" w:hAnsi="Times New Roman" w:cs="Times New Roman"/>
                <w:color w:val="323842"/>
                <w:sz w:val="20"/>
                <w:szCs w:val="20"/>
                <w:lang w:eastAsia="uk-UA"/>
              </w:rPr>
              <w:t>вказується</w:t>
            </w:r>
            <w:r w:rsidR="00C775B2" w:rsidRPr="002C4941">
              <w:rPr>
                <w:rFonts w:ascii="Times New Roman" w:eastAsia="Times New Roman" w:hAnsi="Times New Roman" w:cs="Times New Roman"/>
                <w:color w:val="323842"/>
                <w:sz w:val="20"/>
                <w:szCs w:val="20"/>
                <w:lang w:eastAsia="uk-UA"/>
              </w:rPr>
              <w:t xml:space="preserve"> знос у ряд. 196</w:t>
            </w:r>
          </w:p>
        </w:tc>
      </w:tr>
      <w:tr w:rsidR="00C775B2" w:rsidRPr="00E8353A" w14:paraId="2CA51B2F" w14:textId="77777777" w:rsidTr="00E8353A">
        <w:trPr>
          <w:trHeight w:val="20"/>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005597BA" w14:textId="77777777" w:rsidR="00C775B2" w:rsidRPr="002C4941" w:rsidRDefault="00C775B2"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залишкова вартість ОЗ, що тимчасово не використовуються</w:t>
            </w:r>
          </w:p>
        </w:tc>
        <w:tc>
          <w:tcPr>
            <w:tcW w:w="144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6EAA7071" w14:textId="77777777" w:rsidR="00C775B2" w:rsidRPr="002C4941" w:rsidRDefault="00C775B2" w:rsidP="00E8353A">
            <w:pPr>
              <w:spacing w:after="0" w:line="240" w:lineRule="auto"/>
              <w:jc w:val="center"/>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191</w:t>
            </w:r>
          </w:p>
        </w:tc>
        <w:tc>
          <w:tcPr>
            <w:tcW w:w="495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1BA88FE6" w14:textId="0152F2E7" w:rsidR="00C775B2" w:rsidRPr="002C4941" w:rsidRDefault="009C0BDD"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Вказується</w:t>
            </w:r>
            <w:r w:rsidR="00C775B2" w:rsidRPr="002C4941">
              <w:rPr>
                <w:rFonts w:ascii="Times New Roman" w:eastAsia="Times New Roman" w:hAnsi="Times New Roman" w:cs="Times New Roman"/>
                <w:color w:val="323842"/>
                <w:sz w:val="20"/>
                <w:szCs w:val="20"/>
                <w:lang w:eastAsia="uk-UA"/>
              </w:rPr>
              <w:t xml:space="preserve"> залишков</w:t>
            </w:r>
            <w:r w:rsidRPr="002C4941">
              <w:rPr>
                <w:rFonts w:ascii="Times New Roman" w:eastAsia="Times New Roman" w:hAnsi="Times New Roman" w:cs="Times New Roman"/>
                <w:color w:val="323842"/>
                <w:sz w:val="20"/>
                <w:szCs w:val="20"/>
                <w:lang w:eastAsia="uk-UA"/>
              </w:rPr>
              <w:t>а</w:t>
            </w:r>
            <w:r w:rsidR="00C775B2" w:rsidRPr="002C4941">
              <w:rPr>
                <w:rFonts w:ascii="Times New Roman" w:eastAsia="Times New Roman" w:hAnsi="Times New Roman" w:cs="Times New Roman"/>
                <w:color w:val="323842"/>
                <w:sz w:val="20"/>
                <w:szCs w:val="20"/>
                <w:lang w:eastAsia="uk-UA"/>
              </w:rPr>
              <w:t xml:space="preserve"> вартість ОЗ, які перебувають на реконструкції, консервації. Їх слід взяти з тих документів (наказів, актів), якими оформлялось виведення ОЗ з експлуатації</w:t>
            </w:r>
          </w:p>
        </w:tc>
      </w:tr>
      <w:tr w:rsidR="00C775B2" w:rsidRPr="00E8353A" w14:paraId="268E73B6" w14:textId="77777777" w:rsidTr="00E8353A">
        <w:trPr>
          <w:trHeight w:val="20"/>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5510AF7E" w14:textId="77777777" w:rsidR="00C775B2" w:rsidRPr="002C4941" w:rsidRDefault="00C775B2"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вартість повністю амортизованих ОЗ які продовжують використовуватись</w:t>
            </w:r>
          </w:p>
        </w:tc>
        <w:tc>
          <w:tcPr>
            <w:tcW w:w="144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7C29514E" w14:textId="77777777" w:rsidR="00C775B2" w:rsidRPr="002C4941" w:rsidRDefault="00C775B2" w:rsidP="00E8353A">
            <w:pPr>
              <w:spacing w:after="0" w:line="240" w:lineRule="auto"/>
              <w:jc w:val="center"/>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192</w:t>
            </w:r>
          </w:p>
        </w:tc>
        <w:tc>
          <w:tcPr>
            <w:tcW w:w="495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58212A0D" w14:textId="77777777" w:rsidR="00C775B2" w:rsidRPr="002C4941" w:rsidRDefault="00C775B2"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 xml:space="preserve">Слід вказати вартість (первісну) тих об’єктів, у яких </w:t>
            </w:r>
            <w:hyperlink r:id="rId13" w:tgtFrame="_blank" w:history="1">
              <w:r w:rsidRPr="002C4941">
                <w:rPr>
                  <w:rFonts w:ascii="Times New Roman" w:eastAsia="Times New Roman" w:hAnsi="Times New Roman" w:cs="Times New Roman"/>
                  <w:color w:val="0000FF"/>
                  <w:sz w:val="20"/>
                  <w:szCs w:val="20"/>
                  <w:u w:val="single"/>
                  <w:lang w:eastAsia="uk-UA"/>
                </w:rPr>
                <w:t>залишкова вартість</w:t>
              </w:r>
            </w:hyperlink>
            <w:r w:rsidRPr="002C4941">
              <w:rPr>
                <w:rFonts w:ascii="Times New Roman" w:eastAsia="Times New Roman" w:hAnsi="Times New Roman" w:cs="Times New Roman"/>
                <w:color w:val="323842"/>
                <w:sz w:val="20"/>
                <w:szCs w:val="20"/>
                <w:lang w:eastAsia="uk-UA"/>
              </w:rPr>
              <w:t xml:space="preserve"> стала нульовою або ж дорівнює раніше визначеній ліквідаційній вартості з причини повної амортизації.</w:t>
            </w:r>
          </w:p>
          <w:p w14:paraId="0B57135C" w14:textId="77777777" w:rsidR="00C775B2" w:rsidRPr="002C4941" w:rsidRDefault="00C775B2"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Зверніть увагу, що відповідно до НП(С)БОДС 121, якщо залишкова вартість стала нульовою, то слід обов'язково визначити ліквідаційну вартість. Збільшення первісної вартості на суму ліквідаційної відображається за Дт 10 «Основні засоби» Кт 51 «Внесений капітал» (Роз’яснення ДКСУ*)</w:t>
            </w:r>
          </w:p>
        </w:tc>
      </w:tr>
      <w:tr w:rsidR="00C775B2" w:rsidRPr="00E8353A" w14:paraId="5B16EA54" w14:textId="77777777" w:rsidTr="00E8353A">
        <w:trPr>
          <w:trHeight w:val="20"/>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41F9C4F0" w14:textId="77777777" w:rsidR="00C775B2" w:rsidRPr="002C4941" w:rsidRDefault="00C775B2"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вартість ОЗ, які утримуються для продажу, передачі без оплати</w:t>
            </w:r>
          </w:p>
        </w:tc>
        <w:tc>
          <w:tcPr>
            <w:tcW w:w="144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26051164" w14:textId="77777777" w:rsidR="00C775B2" w:rsidRPr="002C4941" w:rsidRDefault="00C775B2" w:rsidP="00E8353A">
            <w:pPr>
              <w:spacing w:after="0" w:line="240" w:lineRule="auto"/>
              <w:jc w:val="center"/>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193</w:t>
            </w:r>
          </w:p>
        </w:tc>
        <w:tc>
          <w:tcPr>
            <w:tcW w:w="495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2B78F9E1" w14:textId="47AA3310" w:rsidR="00C775B2" w:rsidRPr="002C4941" w:rsidRDefault="009C0BDD"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Вказується</w:t>
            </w:r>
            <w:r w:rsidR="00C775B2" w:rsidRPr="002C4941">
              <w:rPr>
                <w:rFonts w:ascii="Times New Roman" w:eastAsia="Times New Roman" w:hAnsi="Times New Roman" w:cs="Times New Roman"/>
                <w:color w:val="323842"/>
                <w:sz w:val="20"/>
                <w:szCs w:val="20"/>
                <w:lang w:eastAsia="uk-UA"/>
              </w:rPr>
              <w:t xml:space="preserve"> первісн</w:t>
            </w:r>
            <w:r w:rsidRPr="002C4941">
              <w:rPr>
                <w:rFonts w:ascii="Times New Roman" w:eastAsia="Times New Roman" w:hAnsi="Times New Roman" w:cs="Times New Roman"/>
                <w:color w:val="323842"/>
                <w:sz w:val="20"/>
                <w:szCs w:val="20"/>
                <w:lang w:eastAsia="uk-UA"/>
              </w:rPr>
              <w:t>а</w:t>
            </w:r>
            <w:r w:rsidR="00C775B2" w:rsidRPr="002C4941">
              <w:rPr>
                <w:rFonts w:ascii="Times New Roman" w:eastAsia="Times New Roman" w:hAnsi="Times New Roman" w:cs="Times New Roman"/>
                <w:color w:val="323842"/>
                <w:sz w:val="20"/>
                <w:szCs w:val="20"/>
                <w:lang w:eastAsia="uk-UA"/>
              </w:rPr>
              <w:t xml:space="preserve"> вартість тих ОЗ, які планується продати. Підстава – накази </w:t>
            </w:r>
            <w:r w:rsidR="005B4A7A" w:rsidRPr="002C4941">
              <w:rPr>
                <w:rFonts w:ascii="Times New Roman" w:eastAsia="Times New Roman" w:hAnsi="Times New Roman" w:cs="Times New Roman"/>
                <w:color w:val="323842"/>
                <w:sz w:val="20"/>
                <w:szCs w:val="20"/>
                <w:lang w:eastAsia="uk-UA"/>
              </w:rPr>
              <w:t>установи</w:t>
            </w:r>
            <w:r w:rsidR="00C775B2" w:rsidRPr="002C4941">
              <w:rPr>
                <w:rFonts w:ascii="Times New Roman" w:eastAsia="Times New Roman" w:hAnsi="Times New Roman" w:cs="Times New Roman"/>
                <w:color w:val="323842"/>
                <w:sz w:val="20"/>
                <w:szCs w:val="20"/>
                <w:lang w:eastAsia="uk-UA"/>
              </w:rPr>
              <w:t>. Можна не вказувати й нічого, так як продаж буває раптовим</w:t>
            </w:r>
          </w:p>
        </w:tc>
      </w:tr>
      <w:tr w:rsidR="00C775B2" w:rsidRPr="00E8353A" w14:paraId="7B690F69" w14:textId="77777777" w:rsidTr="00E8353A">
        <w:trPr>
          <w:trHeight w:val="20"/>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19287E32" w14:textId="77777777" w:rsidR="00C775B2" w:rsidRPr="002C4941" w:rsidRDefault="00C775B2"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вартість безоплатно отриманих основних засобів</w:t>
            </w:r>
          </w:p>
        </w:tc>
        <w:tc>
          <w:tcPr>
            <w:tcW w:w="144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417E0A4C" w14:textId="77777777" w:rsidR="00C775B2" w:rsidRPr="002C4941" w:rsidRDefault="00C775B2" w:rsidP="00E8353A">
            <w:pPr>
              <w:spacing w:after="0" w:line="240" w:lineRule="auto"/>
              <w:jc w:val="center"/>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194 -195</w:t>
            </w:r>
          </w:p>
        </w:tc>
        <w:tc>
          <w:tcPr>
            <w:tcW w:w="495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1B5DE00D" w14:textId="761BAEBA" w:rsidR="00C775B2" w:rsidRPr="002C4941" w:rsidRDefault="00112484"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в</w:t>
            </w:r>
            <w:r w:rsidR="00C775B2" w:rsidRPr="002C4941">
              <w:rPr>
                <w:rFonts w:ascii="Times New Roman" w:eastAsia="Times New Roman" w:hAnsi="Times New Roman" w:cs="Times New Roman"/>
                <w:color w:val="323842"/>
                <w:sz w:val="20"/>
                <w:szCs w:val="20"/>
                <w:lang w:eastAsia="uk-UA"/>
              </w:rPr>
              <w:t>казує</w:t>
            </w:r>
            <w:r w:rsidR="009C0BDD" w:rsidRPr="002C4941">
              <w:rPr>
                <w:rFonts w:ascii="Times New Roman" w:eastAsia="Times New Roman" w:hAnsi="Times New Roman" w:cs="Times New Roman"/>
                <w:color w:val="323842"/>
                <w:sz w:val="20"/>
                <w:szCs w:val="20"/>
                <w:lang w:eastAsia="uk-UA"/>
              </w:rPr>
              <w:t>ться</w:t>
            </w:r>
            <w:r w:rsidR="00C775B2" w:rsidRPr="002C4941">
              <w:rPr>
                <w:rFonts w:ascii="Times New Roman" w:eastAsia="Times New Roman" w:hAnsi="Times New Roman" w:cs="Times New Roman"/>
                <w:color w:val="323842"/>
                <w:sz w:val="20"/>
                <w:szCs w:val="20"/>
                <w:lang w:eastAsia="uk-UA"/>
              </w:rPr>
              <w:t xml:space="preserve"> первісн</w:t>
            </w:r>
            <w:r w:rsidR="009C0BDD" w:rsidRPr="002C4941">
              <w:rPr>
                <w:rFonts w:ascii="Times New Roman" w:eastAsia="Times New Roman" w:hAnsi="Times New Roman" w:cs="Times New Roman"/>
                <w:color w:val="323842"/>
                <w:sz w:val="20"/>
                <w:szCs w:val="20"/>
                <w:lang w:eastAsia="uk-UA"/>
              </w:rPr>
              <w:t>а</w:t>
            </w:r>
            <w:r w:rsidR="00C775B2" w:rsidRPr="002C4941">
              <w:rPr>
                <w:rFonts w:ascii="Times New Roman" w:eastAsia="Times New Roman" w:hAnsi="Times New Roman" w:cs="Times New Roman"/>
                <w:color w:val="323842"/>
                <w:sz w:val="20"/>
                <w:szCs w:val="20"/>
                <w:lang w:eastAsia="uk-UA"/>
              </w:rPr>
              <w:t xml:space="preserve"> вартість тих об’єктів ОЗ, які були одержані внаслідок благодійної допомоги, безоплатних передач, як подарунок</w:t>
            </w:r>
          </w:p>
        </w:tc>
      </w:tr>
      <w:tr w:rsidR="00C775B2" w:rsidRPr="00E8353A" w14:paraId="67FEC79C" w14:textId="77777777" w:rsidTr="00E8353A">
        <w:trPr>
          <w:trHeight w:val="20"/>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0881344C" w14:textId="77777777" w:rsidR="00C775B2" w:rsidRPr="002C4941" w:rsidRDefault="00C775B2"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знос основних засобів, щодо яких існують обмеження права власності, користування та розпорядження</w:t>
            </w:r>
          </w:p>
        </w:tc>
        <w:tc>
          <w:tcPr>
            <w:tcW w:w="144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5FBFF28B" w14:textId="77777777" w:rsidR="00C775B2" w:rsidRPr="002C4941" w:rsidRDefault="00C775B2" w:rsidP="00E8353A">
            <w:pPr>
              <w:spacing w:after="0" w:line="240" w:lineRule="auto"/>
              <w:jc w:val="center"/>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196</w:t>
            </w:r>
          </w:p>
        </w:tc>
        <w:tc>
          <w:tcPr>
            <w:tcW w:w="495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61C89B68" w14:textId="3515FD35" w:rsidR="00C775B2" w:rsidRPr="002C4941" w:rsidRDefault="00711A94" w:rsidP="00E8353A">
            <w:pPr>
              <w:spacing w:after="0" w:line="240" w:lineRule="auto"/>
              <w:jc w:val="center"/>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i/>
                <w:iCs/>
                <w:color w:val="323842"/>
                <w:sz w:val="20"/>
                <w:szCs w:val="20"/>
                <w:lang w:eastAsia="uk-UA"/>
              </w:rPr>
              <w:t>д</w:t>
            </w:r>
            <w:r w:rsidR="00C775B2" w:rsidRPr="002C4941">
              <w:rPr>
                <w:rFonts w:ascii="Times New Roman" w:eastAsia="Times New Roman" w:hAnsi="Times New Roman" w:cs="Times New Roman"/>
                <w:i/>
                <w:iCs/>
                <w:color w:val="323842"/>
                <w:sz w:val="20"/>
                <w:szCs w:val="20"/>
                <w:lang w:eastAsia="uk-UA"/>
              </w:rPr>
              <w:t>ив</w:t>
            </w:r>
            <w:r w:rsidR="00C775B2" w:rsidRPr="002C4941">
              <w:rPr>
                <w:rFonts w:ascii="Times New Roman" w:eastAsia="Times New Roman" w:hAnsi="Times New Roman" w:cs="Times New Roman"/>
                <w:color w:val="323842"/>
                <w:sz w:val="20"/>
                <w:szCs w:val="20"/>
                <w:lang w:eastAsia="uk-UA"/>
              </w:rPr>
              <w:t>. пояснення до ряд. 190</w:t>
            </w:r>
          </w:p>
        </w:tc>
      </w:tr>
      <w:tr w:rsidR="00C775B2" w:rsidRPr="00E8353A" w14:paraId="14363D99" w14:textId="77777777" w:rsidTr="00E8353A">
        <w:trPr>
          <w:trHeight w:val="20"/>
        </w:trPr>
        <w:tc>
          <w:tcPr>
            <w:tcW w:w="0" w:type="auto"/>
            <w:gridSpan w:val="3"/>
            <w:tcBorders>
              <w:top w:val="outset" w:sz="6" w:space="0" w:color="000000"/>
              <w:left w:val="outset" w:sz="6" w:space="0" w:color="000000"/>
              <w:bottom w:val="outset" w:sz="6" w:space="0" w:color="000000"/>
              <w:right w:val="outset" w:sz="6" w:space="0" w:color="000000"/>
            </w:tcBorders>
            <w:shd w:val="clear" w:color="auto" w:fill="F2DBDB"/>
            <w:tcMar>
              <w:top w:w="0" w:type="dxa"/>
              <w:left w:w="0" w:type="dxa"/>
              <w:bottom w:w="0" w:type="dxa"/>
              <w:right w:w="0" w:type="dxa"/>
            </w:tcMar>
            <w:hideMark/>
          </w:tcPr>
          <w:p w14:paraId="343C9BEA" w14:textId="77777777" w:rsidR="00C775B2" w:rsidRPr="00E8353A" w:rsidRDefault="00C775B2" w:rsidP="00711A94">
            <w:pPr>
              <w:spacing w:after="0" w:line="240" w:lineRule="auto"/>
              <w:jc w:val="center"/>
              <w:rPr>
                <w:rFonts w:ascii="Times New Roman" w:eastAsia="Times New Roman" w:hAnsi="Times New Roman" w:cs="Times New Roman"/>
                <w:color w:val="323842"/>
                <w:sz w:val="20"/>
                <w:szCs w:val="20"/>
                <w:lang w:eastAsia="uk-UA"/>
              </w:rPr>
            </w:pPr>
            <w:r w:rsidRPr="00E8353A">
              <w:rPr>
                <w:rFonts w:ascii="Times New Roman" w:eastAsia="Times New Roman" w:hAnsi="Times New Roman" w:cs="Times New Roman"/>
                <w:b/>
                <w:bCs/>
                <w:color w:val="323842"/>
                <w:sz w:val="20"/>
                <w:szCs w:val="20"/>
                <w:lang w:eastAsia="uk-UA"/>
              </w:rPr>
              <w:t>Розділ ІІ Нематеріальні активи</w:t>
            </w:r>
          </w:p>
        </w:tc>
      </w:tr>
      <w:tr w:rsidR="00C775B2" w:rsidRPr="00E8353A" w14:paraId="6B071B8E" w14:textId="77777777" w:rsidTr="00E8353A">
        <w:trPr>
          <w:trHeight w:val="20"/>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7FE5C509" w14:textId="77777777" w:rsidR="00C775B2" w:rsidRPr="002C4941" w:rsidRDefault="00C775B2"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Авторське та суміжні з ним права</w:t>
            </w:r>
          </w:p>
        </w:tc>
        <w:tc>
          <w:tcPr>
            <w:tcW w:w="144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2CC4DBCA" w14:textId="77777777" w:rsidR="00C775B2" w:rsidRPr="002C4941" w:rsidRDefault="00C775B2" w:rsidP="00E8353A">
            <w:pPr>
              <w:spacing w:after="0" w:line="240" w:lineRule="auto"/>
              <w:jc w:val="center"/>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200</w:t>
            </w:r>
          </w:p>
        </w:tc>
        <w:tc>
          <w:tcPr>
            <w:tcW w:w="4953" w:type="dxa"/>
            <w:vMerge w:val="restart"/>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17308F0E" w14:textId="77777777" w:rsidR="00C775B2" w:rsidRPr="002C4941" w:rsidRDefault="00C775B2"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Заповнення усіх граф у цілому аналогічне розділу І «Основні засоби» (</w:t>
            </w:r>
            <w:r w:rsidRPr="002C4941">
              <w:rPr>
                <w:rFonts w:ascii="Times New Roman" w:eastAsia="Times New Roman" w:hAnsi="Times New Roman" w:cs="Times New Roman"/>
                <w:i/>
                <w:iCs/>
                <w:color w:val="323842"/>
                <w:sz w:val="20"/>
                <w:szCs w:val="20"/>
                <w:lang w:eastAsia="uk-UA"/>
              </w:rPr>
              <w:t>див. вище</w:t>
            </w:r>
            <w:r w:rsidRPr="002C4941">
              <w:rPr>
                <w:rFonts w:ascii="Times New Roman" w:eastAsia="Times New Roman" w:hAnsi="Times New Roman" w:cs="Times New Roman"/>
                <w:color w:val="323842"/>
                <w:sz w:val="20"/>
                <w:szCs w:val="20"/>
                <w:lang w:eastAsia="uk-UA"/>
              </w:rPr>
              <w:t>).</w:t>
            </w:r>
          </w:p>
          <w:p w14:paraId="3CECC82E" w14:textId="77777777" w:rsidR="00C775B2" w:rsidRPr="002C4941" w:rsidRDefault="00C775B2"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 xml:space="preserve">Щодо </w:t>
            </w:r>
            <w:r w:rsidRPr="002C4941">
              <w:rPr>
                <w:rFonts w:ascii="Times New Roman" w:eastAsia="Times New Roman" w:hAnsi="Times New Roman" w:cs="Times New Roman"/>
                <w:b/>
                <w:bCs/>
                <w:color w:val="323842"/>
                <w:sz w:val="20"/>
                <w:szCs w:val="20"/>
                <w:lang w:eastAsia="uk-UA"/>
              </w:rPr>
              <w:t xml:space="preserve">діапазону корисного використання </w:t>
            </w:r>
            <w:r w:rsidRPr="002C4941">
              <w:rPr>
                <w:rFonts w:ascii="Times New Roman" w:eastAsia="Times New Roman" w:hAnsi="Times New Roman" w:cs="Times New Roman"/>
                <w:color w:val="323842"/>
                <w:sz w:val="20"/>
                <w:szCs w:val="20"/>
                <w:lang w:eastAsia="uk-UA"/>
              </w:rPr>
              <w:t>(гр. 17-18), то беремо дані з наказу про облікову політику та наказів про введення конкретних об’єктів НА. Ніяких роз’яснень, що робити, коли різні строки за різними об’єктами – немає. Тому можна взяти найменший з них або найбільший.</w:t>
            </w:r>
          </w:p>
          <w:p w14:paraId="62C85A1C" w14:textId="4F068B1F" w:rsidR="00C775B2" w:rsidRPr="002C4941" w:rsidRDefault="00C775B2"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 xml:space="preserve">Також у </w:t>
            </w:r>
            <w:hyperlink r:id="rId14" w:anchor="n4528" w:history="1">
              <w:r w:rsidRPr="002C4941">
                <w:rPr>
                  <w:rStyle w:val="a3"/>
                  <w:rFonts w:ascii="Times New Roman" w:eastAsia="Times New Roman" w:hAnsi="Times New Roman" w:cs="Times New Roman"/>
                  <w:sz w:val="20"/>
                  <w:szCs w:val="20"/>
                  <w:lang w:eastAsia="uk-UA"/>
                </w:rPr>
                <w:t>П</w:t>
              </w:r>
              <w:r w:rsidR="00875D40" w:rsidRPr="002C4941">
                <w:rPr>
                  <w:rStyle w:val="a3"/>
                  <w:rFonts w:ascii="Times New Roman" w:eastAsia="Times New Roman" w:hAnsi="Times New Roman" w:cs="Times New Roman"/>
                  <w:sz w:val="20"/>
                  <w:szCs w:val="20"/>
                  <w:lang w:eastAsia="uk-UA"/>
                </w:rPr>
                <w:t>одатковому кодексі України</w:t>
              </w:r>
            </w:hyperlink>
            <w:r w:rsidR="00875D40" w:rsidRPr="002C4941">
              <w:rPr>
                <w:rFonts w:ascii="Times New Roman" w:eastAsia="Times New Roman" w:hAnsi="Times New Roman" w:cs="Times New Roman"/>
                <w:color w:val="323842"/>
                <w:sz w:val="20"/>
                <w:szCs w:val="20"/>
                <w:lang w:eastAsia="uk-UA"/>
              </w:rPr>
              <w:t xml:space="preserve"> (ПКУ)</w:t>
            </w:r>
            <w:r w:rsidRPr="002C4941">
              <w:rPr>
                <w:rFonts w:ascii="Times New Roman" w:eastAsia="Times New Roman" w:hAnsi="Times New Roman" w:cs="Times New Roman"/>
                <w:color w:val="323842"/>
                <w:sz w:val="20"/>
                <w:szCs w:val="20"/>
                <w:lang w:eastAsia="uk-UA"/>
              </w:rPr>
              <w:t xml:space="preserve"> є обмеження:</w:t>
            </w:r>
          </w:p>
          <w:p w14:paraId="3B35D65D" w14:textId="77777777" w:rsidR="00C775B2" w:rsidRPr="002C4941" w:rsidRDefault="00C775B2" w:rsidP="00E8353A">
            <w:pPr>
              <w:numPr>
                <w:ilvl w:val="0"/>
                <w:numId w:val="7"/>
              </w:num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lastRenderedPageBreak/>
              <w:t>у ПКУ на строк корисного використання НА, для яких строк корисного використання не встановлений: 2 роки – мінімальний, 10 років – максимальний (п. 138.3 ПКУ). Щодо тих активів, за якими відповідно до правовстановлюючого документа визначений строк корисного використання, ПКУ рекомендує дотримуватися саме його;</w:t>
            </w:r>
          </w:p>
          <w:p w14:paraId="1B6D80BC" w14:textId="39CF8382" w:rsidR="00C775B2" w:rsidRPr="002C4941" w:rsidRDefault="00C775B2" w:rsidP="00E8353A">
            <w:pPr>
              <w:numPr>
                <w:ilvl w:val="0"/>
                <w:numId w:val="7"/>
              </w:num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 xml:space="preserve">у </w:t>
            </w:r>
            <w:hyperlink r:id="rId15" w:anchor="n601" w:history="1">
              <w:r w:rsidR="00711A94" w:rsidRPr="002C4941">
                <w:rPr>
                  <w:rStyle w:val="a3"/>
                  <w:rFonts w:ascii="Times New Roman" w:eastAsia="Times New Roman" w:hAnsi="Times New Roman" w:cs="Times New Roman"/>
                  <w:sz w:val="20"/>
                  <w:szCs w:val="20"/>
                  <w:lang w:eastAsia="uk-UA"/>
                </w:rPr>
                <w:t>Д</w:t>
              </w:r>
              <w:r w:rsidRPr="002C4941">
                <w:rPr>
                  <w:rStyle w:val="a3"/>
                  <w:rFonts w:ascii="Times New Roman" w:eastAsia="Times New Roman" w:hAnsi="Times New Roman" w:cs="Times New Roman"/>
                  <w:sz w:val="20"/>
                  <w:szCs w:val="20"/>
                  <w:lang w:eastAsia="uk-UA"/>
                </w:rPr>
                <w:t>одатку 2</w:t>
              </w:r>
            </w:hyperlink>
            <w:r w:rsidRPr="002C4941">
              <w:rPr>
                <w:rFonts w:ascii="Times New Roman" w:eastAsia="Times New Roman" w:hAnsi="Times New Roman" w:cs="Times New Roman"/>
                <w:color w:val="323842"/>
                <w:sz w:val="20"/>
                <w:szCs w:val="20"/>
                <w:lang w:eastAsia="uk-UA"/>
              </w:rPr>
              <w:t xml:space="preserve"> до </w:t>
            </w:r>
            <w:hyperlink r:id="rId16" w:anchor="n14" w:history="1">
              <w:r w:rsidRPr="002C4941">
                <w:rPr>
                  <w:rStyle w:val="a3"/>
                  <w:rFonts w:ascii="Times New Roman" w:eastAsia="Times New Roman" w:hAnsi="Times New Roman" w:cs="Times New Roman"/>
                  <w:sz w:val="20"/>
                  <w:szCs w:val="20"/>
                  <w:lang w:eastAsia="uk-UA"/>
                </w:rPr>
                <w:t xml:space="preserve">Методичних рекомендацій щодо облікової політики </w:t>
              </w:r>
              <w:r w:rsidR="00711A94" w:rsidRPr="002C4941">
                <w:rPr>
                  <w:rStyle w:val="a3"/>
                  <w:rFonts w:ascii="Times New Roman" w:eastAsia="Times New Roman" w:hAnsi="Times New Roman" w:cs="Times New Roman"/>
                  <w:sz w:val="20"/>
                  <w:szCs w:val="20"/>
                  <w:lang w:eastAsia="uk-UA"/>
                </w:rPr>
                <w:t>суб’єкта</w:t>
              </w:r>
              <w:r w:rsidRPr="002C4941">
                <w:rPr>
                  <w:rStyle w:val="a3"/>
                  <w:rFonts w:ascii="Times New Roman" w:eastAsia="Times New Roman" w:hAnsi="Times New Roman" w:cs="Times New Roman"/>
                  <w:sz w:val="20"/>
                  <w:szCs w:val="20"/>
                  <w:lang w:eastAsia="uk-UA"/>
                </w:rPr>
                <w:t xml:space="preserve"> державного сектору</w:t>
              </w:r>
            </w:hyperlink>
            <w:r w:rsidRPr="002C4941">
              <w:rPr>
                <w:rFonts w:ascii="Times New Roman" w:eastAsia="Times New Roman" w:hAnsi="Times New Roman" w:cs="Times New Roman"/>
                <w:color w:val="323842"/>
                <w:sz w:val="20"/>
                <w:szCs w:val="20"/>
                <w:lang w:eastAsia="uk-UA"/>
              </w:rPr>
              <w:t xml:space="preserve">, </w:t>
            </w:r>
            <w:r w:rsidRPr="002C4941">
              <w:rPr>
                <w:rFonts w:ascii="Times New Roman" w:eastAsia="Times New Roman" w:hAnsi="Times New Roman" w:cs="Times New Roman"/>
                <w:color w:val="0000FF"/>
                <w:sz w:val="20"/>
                <w:szCs w:val="20"/>
                <w:u w:val="single"/>
                <w:lang w:eastAsia="uk-UA"/>
              </w:rPr>
              <w:t>наказ Мінфіну від 23.01.2015 року № 11</w:t>
            </w:r>
            <w:r w:rsidRPr="002C4941">
              <w:rPr>
                <w:rFonts w:ascii="Times New Roman" w:eastAsia="Times New Roman" w:hAnsi="Times New Roman" w:cs="Times New Roman"/>
                <w:color w:val="323842"/>
                <w:sz w:val="20"/>
                <w:szCs w:val="20"/>
                <w:lang w:eastAsia="uk-UA"/>
              </w:rPr>
              <w:t>. Мінімум 2 роки – для авторського права і суміжних прав, мінімум 5 років – для об’єктів промислової власності, відповідно до правовстановлюючих документів – для всіх інших. Максимальний строк не заданий.</w:t>
            </w:r>
          </w:p>
          <w:p w14:paraId="52F062B2" w14:textId="77777777" w:rsidR="00C775B2" w:rsidRPr="002C4941" w:rsidRDefault="00C775B2"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Бюджетникам виконувати вимоги ПКУ не обов’язково, але можна взяти до уваги й обмежити максимальний строк у 10 років. Однак він має бути зафіксований у наказі про облікову політику</w:t>
            </w:r>
          </w:p>
        </w:tc>
      </w:tr>
      <w:tr w:rsidR="00C775B2" w:rsidRPr="00E8353A" w14:paraId="126238D0" w14:textId="77777777" w:rsidTr="00E8353A">
        <w:trPr>
          <w:trHeight w:val="20"/>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0AB90F13" w14:textId="77777777" w:rsidR="00C775B2" w:rsidRPr="002C4941" w:rsidRDefault="00C775B2"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Права користування природними ресурсами</w:t>
            </w:r>
          </w:p>
        </w:tc>
        <w:tc>
          <w:tcPr>
            <w:tcW w:w="144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7884025F" w14:textId="77777777" w:rsidR="00C775B2" w:rsidRPr="002C4941" w:rsidRDefault="00C775B2" w:rsidP="00E8353A">
            <w:pPr>
              <w:spacing w:after="0" w:line="240" w:lineRule="auto"/>
              <w:jc w:val="center"/>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210</w:t>
            </w:r>
          </w:p>
        </w:tc>
        <w:tc>
          <w:tcPr>
            <w:tcW w:w="4953" w:type="dxa"/>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B5BF8BC" w14:textId="77777777" w:rsidR="00C775B2" w:rsidRPr="002C4941" w:rsidRDefault="00C775B2" w:rsidP="00E8353A">
            <w:pPr>
              <w:spacing w:after="0" w:line="240" w:lineRule="auto"/>
              <w:jc w:val="both"/>
              <w:rPr>
                <w:rFonts w:ascii="Times New Roman" w:eastAsia="Times New Roman" w:hAnsi="Times New Roman" w:cs="Times New Roman"/>
                <w:color w:val="323842"/>
                <w:sz w:val="20"/>
                <w:szCs w:val="20"/>
                <w:lang w:eastAsia="uk-UA"/>
              </w:rPr>
            </w:pPr>
          </w:p>
        </w:tc>
      </w:tr>
      <w:tr w:rsidR="00C775B2" w:rsidRPr="00E8353A" w14:paraId="7566CDD6" w14:textId="77777777" w:rsidTr="00E8353A">
        <w:trPr>
          <w:trHeight w:val="20"/>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5D2A486C" w14:textId="77777777" w:rsidR="00C775B2" w:rsidRPr="002C4941" w:rsidRDefault="00C775B2"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Права на знаки для товарів і послуг</w:t>
            </w:r>
          </w:p>
        </w:tc>
        <w:tc>
          <w:tcPr>
            <w:tcW w:w="144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3A292E4D" w14:textId="77777777" w:rsidR="00C775B2" w:rsidRPr="002C4941" w:rsidRDefault="00C775B2" w:rsidP="00E8353A">
            <w:pPr>
              <w:spacing w:after="0" w:line="240" w:lineRule="auto"/>
              <w:jc w:val="center"/>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220</w:t>
            </w:r>
          </w:p>
        </w:tc>
        <w:tc>
          <w:tcPr>
            <w:tcW w:w="4953" w:type="dxa"/>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8E21C5C" w14:textId="77777777" w:rsidR="00C775B2" w:rsidRPr="002C4941" w:rsidRDefault="00C775B2" w:rsidP="00E8353A">
            <w:pPr>
              <w:spacing w:after="0" w:line="240" w:lineRule="auto"/>
              <w:jc w:val="both"/>
              <w:rPr>
                <w:rFonts w:ascii="Times New Roman" w:eastAsia="Times New Roman" w:hAnsi="Times New Roman" w:cs="Times New Roman"/>
                <w:color w:val="323842"/>
                <w:sz w:val="20"/>
                <w:szCs w:val="20"/>
                <w:lang w:eastAsia="uk-UA"/>
              </w:rPr>
            </w:pPr>
          </w:p>
        </w:tc>
      </w:tr>
      <w:tr w:rsidR="00C775B2" w:rsidRPr="00E8353A" w14:paraId="18DDE748" w14:textId="77777777" w:rsidTr="00E8353A">
        <w:trPr>
          <w:trHeight w:val="20"/>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03F37179" w14:textId="77777777" w:rsidR="00C775B2" w:rsidRPr="002C4941" w:rsidRDefault="00C775B2"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Права користування майном</w:t>
            </w:r>
          </w:p>
        </w:tc>
        <w:tc>
          <w:tcPr>
            <w:tcW w:w="144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2D54E3A2" w14:textId="77777777" w:rsidR="00C775B2" w:rsidRPr="002C4941" w:rsidRDefault="00C775B2" w:rsidP="00E8353A">
            <w:pPr>
              <w:spacing w:after="0" w:line="240" w:lineRule="auto"/>
              <w:jc w:val="center"/>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230</w:t>
            </w:r>
          </w:p>
        </w:tc>
        <w:tc>
          <w:tcPr>
            <w:tcW w:w="4953" w:type="dxa"/>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CAD8BEE" w14:textId="77777777" w:rsidR="00C775B2" w:rsidRPr="002C4941" w:rsidRDefault="00C775B2" w:rsidP="00E8353A">
            <w:pPr>
              <w:spacing w:after="0" w:line="240" w:lineRule="auto"/>
              <w:jc w:val="both"/>
              <w:rPr>
                <w:rFonts w:ascii="Times New Roman" w:eastAsia="Times New Roman" w:hAnsi="Times New Roman" w:cs="Times New Roman"/>
                <w:color w:val="323842"/>
                <w:sz w:val="20"/>
                <w:szCs w:val="20"/>
                <w:lang w:eastAsia="uk-UA"/>
              </w:rPr>
            </w:pPr>
          </w:p>
        </w:tc>
      </w:tr>
      <w:tr w:rsidR="00C775B2" w:rsidRPr="00E8353A" w14:paraId="5A0E578E" w14:textId="77777777" w:rsidTr="00E8353A">
        <w:trPr>
          <w:trHeight w:val="20"/>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13FE6304" w14:textId="77777777" w:rsidR="00C775B2" w:rsidRPr="002C4941" w:rsidRDefault="00C775B2"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lastRenderedPageBreak/>
              <w:t>Права на об'єкти промислової власності</w:t>
            </w:r>
          </w:p>
        </w:tc>
        <w:tc>
          <w:tcPr>
            <w:tcW w:w="144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21294A3A" w14:textId="77777777" w:rsidR="00C775B2" w:rsidRPr="002C4941" w:rsidRDefault="00C775B2" w:rsidP="00E8353A">
            <w:pPr>
              <w:spacing w:after="0" w:line="240" w:lineRule="auto"/>
              <w:jc w:val="center"/>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240</w:t>
            </w:r>
          </w:p>
        </w:tc>
        <w:tc>
          <w:tcPr>
            <w:tcW w:w="4953" w:type="dxa"/>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8114845" w14:textId="77777777" w:rsidR="00C775B2" w:rsidRPr="002C4941" w:rsidRDefault="00C775B2" w:rsidP="00E8353A">
            <w:pPr>
              <w:spacing w:after="0" w:line="240" w:lineRule="auto"/>
              <w:jc w:val="both"/>
              <w:rPr>
                <w:rFonts w:ascii="Times New Roman" w:eastAsia="Times New Roman" w:hAnsi="Times New Roman" w:cs="Times New Roman"/>
                <w:color w:val="323842"/>
                <w:sz w:val="20"/>
                <w:szCs w:val="20"/>
                <w:lang w:eastAsia="uk-UA"/>
              </w:rPr>
            </w:pPr>
          </w:p>
        </w:tc>
      </w:tr>
      <w:tr w:rsidR="00C775B2" w:rsidRPr="00E8353A" w14:paraId="4583F755" w14:textId="77777777" w:rsidTr="00E8353A">
        <w:trPr>
          <w:trHeight w:val="20"/>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7341D047" w14:textId="77777777" w:rsidR="00C775B2" w:rsidRPr="002C4941" w:rsidRDefault="00C775B2"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Інші нематеріальні активи</w:t>
            </w:r>
          </w:p>
        </w:tc>
        <w:tc>
          <w:tcPr>
            <w:tcW w:w="144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3EE03100" w14:textId="77777777" w:rsidR="00C775B2" w:rsidRPr="002C4941" w:rsidRDefault="00C775B2" w:rsidP="00E8353A">
            <w:pPr>
              <w:spacing w:after="0" w:line="240" w:lineRule="auto"/>
              <w:jc w:val="center"/>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250</w:t>
            </w:r>
          </w:p>
        </w:tc>
        <w:tc>
          <w:tcPr>
            <w:tcW w:w="4953" w:type="dxa"/>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9C4948F" w14:textId="77777777" w:rsidR="00C775B2" w:rsidRPr="002C4941" w:rsidRDefault="00C775B2" w:rsidP="00E8353A">
            <w:pPr>
              <w:spacing w:after="0" w:line="240" w:lineRule="auto"/>
              <w:jc w:val="both"/>
              <w:rPr>
                <w:rFonts w:ascii="Times New Roman" w:eastAsia="Times New Roman" w:hAnsi="Times New Roman" w:cs="Times New Roman"/>
                <w:color w:val="323842"/>
                <w:sz w:val="20"/>
                <w:szCs w:val="20"/>
                <w:lang w:eastAsia="uk-UA"/>
              </w:rPr>
            </w:pPr>
          </w:p>
        </w:tc>
      </w:tr>
      <w:tr w:rsidR="00C775B2" w:rsidRPr="00E8353A" w14:paraId="3E9A88E0" w14:textId="77777777" w:rsidTr="00E8353A">
        <w:trPr>
          <w:trHeight w:val="20"/>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72B4595C" w14:textId="77777777" w:rsidR="00C775B2" w:rsidRPr="002C4941" w:rsidRDefault="00C775B2"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Усього</w:t>
            </w:r>
          </w:p>
        </w:tc>
        <w:tc>
          <w:tcPr>
            <w:tcW w:w="144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0BD50454" w14:textId="77777777" w:rsidR="00C775B2" w:rsidRPr="002C4941" w:rsidRDefault="00C775B2" w:rsidP="00E8353A">
            <w:pPr>
              <w:spacing w:after="0" w:line="240" w:lineRule="auto"/>
              <w:jc w:val="center"/>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260</w:t>
            </w:r>
          </w:p>
        </w:tc>
        <w:tc>
          <w:tcPr>
            <w:tcW w:w="495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0613BF32" w14:textId="7970096E" w:rsidR="00C775B2" w:rsidRPr="002C4941" w:rsidRDefault="008C3401" w:rsidP="008C3401">
            <w:pPr>
              <w:spacing w:after="0" w:line="240" w:lineRule="auto"/>
              <w:jc w:val="center"/>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val="ru-RU" w:eastAsia="uk-UA"/>
              </w:rPr>
              <w:t>з</w:t>
            </w:r>
            <w:r w:rsidR="00C775B2" w:rsidRPr="002C4941">
              <w:rPr>
                <w:rFonts w:ascii="Times New Roman" w:eastAsia="Times New Roman" w:hAnsi="Times New Roman" w:cs="Times New Roman"/>
                <w:color w:val="323842"/>
                <w:sz w:val="20"/>
                <w:szCs w:val="20"/>
                <w:lang w:eastAsia="uk-UA"/>
              </w:rPr>
              <w:t>а первісною вартістю та зносом має співпадати з гр. 3 (гр. 4) ряд. 1021 форми 1-дс</w:t>
            </w:r>
          </w:p>
        </w:tc>
      </w:tr>
      <w:tr w:rsidR="00C775B2" w:rsidRPr="00E8353A" w14:paraId="24318FA8" w14:textId="77777777" w:rsidTr="00E8353A">
        <w:trPr>
          <w:trHeight w:val="20"/>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4981DD8E" w14:textId="77777777" w:rsidR="00C775B2" w:rsidRPr="002C4941" w:rsidRDefault="00C775B2"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Додаткові рядки</w:t>
            </w:r>
          </w:p>
        </w:tc>
        <w:tc>
          <w:tcPr>
            <w:tcW w:w="144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161D64CF" w14:textId="77777777" w:rsidR="00C775B2" w:rsidRPr="002C4941" w:rsidRDefault="00C775B2" w:rsidP="00E8353A">
            <w:pPr>
              <w:spacing w:after="0" w:line="240" w:lineRule="auto"/>
              <w:jc w:val="center"/>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261-266</w:t>
            </w:r>
          </w:p>
        </w:tc>
        <w:tc>
          <w:tcPr>
            <w:tcW w:w="495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00B112F9" w14:textId="30C7C6B7" w:rsidR="00C775B2" w:rsidRPr="002C4941" w:rsidRDefault="009C0BDD"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 xml:space="preserve">заповнюється </w:t>
            </w:r>
            <w:r w:rsidR="00C775B2" w:rsidRPr="002C4941">
              <w:rPr>
                <w:rFonts w:ascii="Times New Roman" w:eastAsia="Times New Roman" w:hAnsi="Times New Roman" w:cs="Times New Roman"/>
                <w:color w:val="323842"/>
                <w:sz w:val="20"/>
                <w:szCs w:val="20"/>
                <w:lang w:eastAsia="uk-UA"/>
              </w:rPr>
              <w:t>аналогічно подібним рядкам щодо основних засобів на підставі документів на обмеження використання, оформлення застави тощо</w:t>
            </w:r>
          </w:p>
        </w:tc>
      </w:tr>
      <w:tr w:rsidR="00C775B2" w:rsidRPr="00E8353A" w14:paraId="4F2AFF83" w14:textId="77777777" w:rsidTr="00E8353A">
        <w:trPr>
          <w:trHeight w:val="20"/>
        </w:trPr>
        <w:tc>
          <w:tcPr>
            <w:tcW w:w="0" w:type="auto"/>
            <w:gridSpan w:val="3"/>
            <w:tcBorders>
              <w:top w:val="outset" w:sz="6" w:space="0" w:color="000000"/>
              <w:left w:val="outset" w:sz="6" w:space="0" w:color="000000"/>
              <w:bottom w:val="outset" w:sz="6" w:space="0" w:color="000000"/>
              <w:right w:val="outset" w:sz="6" w:space="0" w:color="000000"/>
            </w:tcBorders>
            <w:shd w:val="clear" w:color="auto" w:fill="F2DBDB"/>
            <w:tcMar>
              <w:top w:w="0" w:type="dxa"/>
              <w:left w:w="0" w:type="dxa"/>
              <w:bottom w:w="0" w:type="dxa"/>
              <w:right w:w="0" w:type="dxa"/>
            </w:tcMar>
            <w:vAlign w:val="center"/>
            <w:hideMark/>
          </w:tcPr>
          <w:p w14:paraId="1C60F886" w14:textId="77777777" w:rsidR="00C775B2" w:rsidRPr="00E8353A" w:rsidRDefault="00C775B2" w:rsidP="00E8353A">
            <w:pPr>
              <w:spacing w:after="0" w:line="240" w:lineRule="auto"/>
              <w:jc w:val="center"/>
              <w:rPr>
                <w:rFonts w:ascii="Times New Roman" w:eastAsia="Times New Roman" w:hAnsi="Times New Roman" w:cs="Times New Roman"/>
                <w:color w:val="323842"/>
                <w:sz w:val="20"/>
                <w:szCs w:val="20"/>
                <w:lang w:eastAsia="uk-UA"/>
              </w:rPr>
            </w:pPr>
            <w:r w:rsidRPr="00E8353A">
              <w:rPr>
                <w:rFonts w:ascii="Times New Roman" w:eastAsia="Times New Roman" w:hAnsi="Times New Roman" w:cs="Times New Roman"/>
                <w:b/>
                <w:bCs/>
                <w:color w:val="323842"/>
                <w:sz w:val="20"/>
                <w:szCs w:val="20"/>
                <w:lang w:eastAsia="uk-UA"/>
              </w:rPr>
              <w:t>Розділ III Капітальні інвестиції</w:t>
            </w:r>
          </w:p>
        </w:tc>
      </w:tr>
      <w:tr w:rsidR="00C775B2" w:rsidRPr="00E8353A" w14:paraId="6898B04C" w14:textId="77777777" w:rsidTr="00E8353A">
        <w:trPr>
          <w:trHeight w:val="20"/>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3F992A15" w14:textId="77777777" w:rsidR="00C775B2" w:rsidRPr="002C4941" w:rsidRDefault="00C775B2"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Капітальні інвестиції в основні засоби</w:t>
            </w:r>
          </w:p>
        </w:tc>
        <w:tc>
          <w:tcPr>
            <w:tcW w:w="144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71F02F8F" w14:textId="77777777" w:rsidR="00C775B2" w:rsidRPr="002C4941" w:rsidRDefault="00C775B2" w:rsidP="00E8353A">
            <w:pPr>
              <w:spacing w:after="0" w:line="240" w:lineRule="auto"/>
              <w:jc w:val="center"/>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300</w:t>
            </w:r>
          </w:p>
        </w:tc>
        <w:tc>
          <w:tcPr>
            <w:tcW w:w="495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265D692D" w14:textId="68901057" w:rsidR="00C775B2" w:rsidRPr="002C4941" w:rsidRDefault="009C0BDD" w:rsidP="008C3401">
            <w:pPr>
              <w:spacing w:after="0" w:line="240" w:lineRule="auto"/>
              <w:jc w:val="center"/>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 xml:space="preserve">заповнюється </w:t>
            </w:r>
            <w:r w:rsidR="00C775B2" w:rsidRPr="002C4941">
              <w:rPr>
                <w:rFonts w:ascii="Times New Roman" w:eastAsia="Times New Roman" w:hAnsi="Times New Roman" w:cs="Times New Roman"/>
                <w:color w:val="323842"/>
                <w:sz w:val="20"/>
                <w:szCs w:val="20"/>
                <w:lang w:eastAsia="uk-UA"/>
              </w:rPr>
              <w:t>на основі залишків і оборотів за однойменним субрахунком 1311</w:t>
            </w:r>
          </w:p>
        </w:tc>
      </w:tr>
      <w:tr w:rsidR="00C775B2" w:rsidRPr="00E8353A" w14:paraId="43145F6B" w14:textId="77777777" w:rsidTr="00E8353A">
        <w:trPr>
          <w:trHeight w:val="20"/>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44B0425A" w14:textId="77777777" w:rsidR="00C775B2" w:rsidRPr="002C4941" w:rsidRDefault="00C775B2"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Капітальні інвестиції в інші необоротні матеріальні активи</w:t>
            </w:r>
          </w:p>
        </w:tc>
        <w:tc>
          <w:tcPr>
            <w:tcW w:w="144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38EE625E" w14:textId="77777777" w:rsidR="00C775B2" w:rsidRPr="002C4941" w:rsidRDefault="00C775B2" w:rsidP="00E8353A">
            <w:pPr>
              <w:spacing w:after="0" w:line="240" w:lineRule="auto"/>
              <w:jc w:val="center"/>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310</w:t>
            </w:r>
          </w:p>
        </w:tc>
        <w:tc>
          <w:tcPr>
            <w:tcW w:w="495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2C408AAA" w14:textId="4559FD29" w:rsidR="00C775B2" w:rsidRPr="002C4941" w:rsidRDefault="009C0BDD" w:rsidP="008C3401">
            <w:pPr>
              <w:spacing w:after="0" w:line="240" w:lineRule="auto"/>
              <w:jc w:val="center"/>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 xml:space="preserve">заповнюється </w:t>
            </w:r>
            <w:r w:rsidR="00C775B2" w:rsidRPr="002C4941">
              <w:rPr>
                <w:rFonts w:ascii="Times New Roman" w:eastAsia="Times New Roman" w:hAnsi="Times New Roman" w:cs="Times New Roman"/>
                <w:color w:val="323842"/>
                <w:sz w:val="20"/>
                <w:szCs w:val="20"/>
                <w:lang w:eastAsia="uk-UA"/>
              </w:rPr>
              <w:t>на основі залишків і оборотів за однойменним субрахунком 1312</w:t>
            </w:r>
          </w:p>
        </w:tc>
      </w:tr>
      <w:tr w:rsidR="00C775B2" w:rsidRPr="00E8353A" w14:paraId="4D02BA41" w14:textId="77777777" w:rsidTr="00E8353A">
        <w:trPr>
          <w:trHeight w:val="20"/>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7F9D6688" w14:textId="77777777" w:rsidR="00C775B2" w:rsidRPr="002C4941" w:rsidRDefault="00C775B2"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Капітальні інвестиції в нематеріальні активи</w:t>
            </w:r>
          </w:p>
        </w:tc>
        <w:tc>
          <w:tcPr>
            <w:tcW w:w="144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5473675E" w14:textId="77777777" w:rsidR="00C775B2" w:rsidRPr="002C4941" w:rsidRDefault="00C775B2" w:rsidP="00E8353A">
            <w:pPr>
              <w:spacing w:after="0" w:line="240" w:lineRule="auto"/>
              <w:jc w:val="center"/>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320</w:t>
            </w:r>
          </w:p>
        </w:tc>
        <w:tc>
          <w:tcPr>
            <w:tcW w:w="495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6A5153A4" w14:textId="6110F14E" w:rsidR="00C775B2" w:rsidRPr="002C4941" w:rsidRDefault="009C0BDD" w:rsidP="008C3401">
            <w:pPr>
              <w:spacing w:after="0" w:line="240" w:lineRule="auto"/>
              <w:jc w:val="center"/>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 xml:space="preserve">заповнюється </w:t>
            </w:r>
            <w:r w:rsidR="00C775B2" w:rsidRPr="002C4941">
              <w:rPr>
                <w:rFonts w:ascii="Times New Roman" w:eastAsia="Times New Roman" w:hAnsi="Times New Roman" w:cs="Times New Roman"/>
                <w:color w:val="323842"/>
                <w:sz w:val="20"/>
                <w:szCs w:val="20"/>
                <w:lang w:eastAsia="uk-UA"/>
              </w:rPr>
              <w:t>на основі залишків і оборотів за однойменним субрахунком 1313</w:t>
            </w:r>
          </w:p>
        </w:tc>
      </w:tr>
      <w:tr w:rsidR="00C775B2" w:rsidRPr="00E8353A" w14:paraId="67552023" w14:textId="77777777" w:rsidTr="00E8353A">
        <w:trPr>
          <w:trHeight w:val="20"/>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7CB03D3B" w14:textId="77777777" w:rsidR="00C775B2" w:rsidRPr="002C4941" w:rsidRDefault="00C775B2"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Капітальні інвестиції в довгострокові біологічні активи</w:t>
            </w:r>
          </w:p>
        </w:tc>
        <w:tc>
          <w:tcPr>
            <w:tcW w:w="144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1029F6AC" w14:textId="77777777" w:rsidR="00C775B2" w:rsidRPr="002C4941" w:rsidRDefault="00C775B2" w:rsidP="00E8353A">
            <w:pPr>
              <w:spacing w:after="0" w:line="240" w:lineRule="auto"/>
              <w:jc w:val="center"/>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330</w:t>
            </w:r>
          </w:p>
        </w:tc>
        <w:tc>
          <w:tcPr>
            <w:tcW w:w="495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34E8F03D" w14:textId="361B85C4" w:rsidR="00C775B2" w:rsidRPr="002C4941" w:rsidRDefault="009C0BDD" w:rsidP="008C3401">
            <w:pPr>
              <w:spacing w:after="0" w:line="240" w:lineRule="auto"/>
              <w:jc w:val="center"/>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 xml:space="preserve">заповнюється </w:t>
            </w:r>
            <w:r w:rsidR="00C775B2" w:rsidRPr="002C4941">
              <w:rPr>
                <w:rFonts w:ascii="Times New Roman" w:eastAsia="Times New Roman" w:hAnsi="Times New Roman" w:cs="Times New Roman"/>
                <w:color w:val="323842"/>
                <w:sz w:val="20"/>
                <w:szCs w:val="20"/>
                <w:lang w:eastAsia="uk-UA"/>
              </w:rPr>
              <w:t>на основі залишків і оборотів за однойменним субрахунком 1314</w:t>
            </w:r>
          </w:p>
        </w:tc>
      </w:tr>
      <w:tr w:rsidR="00C775B2" w:rsidRPr="00E8353A" w14:paraId="38253982" w14:textId="77777777" w:rsidTr="00E8353A">
        <w:trPr>
          <w:trHeight w:val="20"/>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47BEBF99" w14:textId="77777777" w:rsidR="00C775B2" w:rsidRPr="002C4941" w:rsidRDefault="00C775B2"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Капітальні інвестиції в необоротні активи спецпризначення</w:t>
            </w:r>
          </w:p>
        </w:tc>
        <w:tc>
          <w:tcPr>
            <w:tcW w:w="144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7BC92519" w14:textId="77777777" w:rsidR="00C775B2" w:rsidRPr="002C4941" w:rsidRDefault="00C775B2" w:rsidP="00E8353A">
            <w:pPr>
              <w:spacing w:after="0" w:line="240" w:lineRule="auto"/>
              <w:jc w:val="center"/>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340</w:t>
            </w:r>
          </w:p>
        </w:tc>
        <w:tc>
          <w:tcPr>
            <w:tcW w:w="495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6EA12C16" w14:textId="0D29A940" w:rsidR="00C775B2" w:rsidRPr="002C4941" w:rsidRDefault="009C0BDD" w:rsidP="008C3401">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 xml:space="preserve">заповнюється </w:t>
            </w:r>
            <w:r w:rsidR="00C775B2" w:rsidRPr="002C4941">
              <w:rPr>
                <w:rFonts w:ascii="Times New Roman" w:eastAsia="Times New Roman" w:hAnsi="Times New Roman" w:cs="Times New Roman"/>
                <w:color w:val="323842"/>
                <w:sz w:val="20"/>
                <w:szCs w:val="20"/>
                <w:lang w:eastAsia="uk-UA"/>
              </w:rPr>
              <w:t>на основі залишків і оборотів за однойменним субрахунком 1312 у тій частині, що стосуються необоротних активів спецпризначення</w:t>
            </w:r>
          </w:p>
        </w:tc>
      </w:tr>
      <w:tr w:rsidR="00C775B2" w:rsidRPr="00E8353A" w14:paraId="505DB6B9" w14:textId="77777777" w:rsidTr="00E8353A">
        <w:trPr>
          <w:trHeight w:val="20"/>
        </w:trPr>
        <w:tc>
          <w:tcPr>
            <w:tcW w:w="4670"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071C1143" w14:textId="77777777" w:rsidR="00C775B2" w:rsidRPr="002C4941" w:rsidRDefault="00C775B2" w:rsidP="00E8353A">
            <w:pPr>
              <w:spacing w:after="0" w:line="240" w:lineRule="auto"/>
              <w:jc w:val="center"/>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b/>
                <w:bCs/>
                <w:color w:val="323842"/>
                <w:sz w:val="20"/>
                <w:szCs w:val="20"/>
                <w:lang w:eastAsia="uk-UA"/>
              </w:rPr>
              <w:t>Додатковий рядок:</w:t>
            </w:r>
          </w:p>
        </w:tc>
        <w:tc>
          <w:tcPr>
            <w:tcW w:w="495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5ACEF36E" w14:textId="77777777" w:rsidR="00C775B2" w:rsidRPr="002C4941" w:rsidRDefault="00C775B2" w:rsidP="00E8353A">
            <w:pPr>
              <w:spacing w:after="0" w:line="240" w:lineRule="auto"/>
              <w:jc w:val="center"/>
              <w:rPr>
                <w:rFonts w:ascii="Times New Roman" w:eastAsia="Times New Roman" w:hAnsi="Times New Roman" w:cs="Times New Roman"/>
                <w:color w:val="323842"/>
                <w:sz w:val="20"/>
                <w:szCs w:val="20"/>
                <w:lang w:eastAsia="uk-UA"/>
              </w:rPr>
            </w:pPr>
          </w:p>
        </w:tc>
      </w:tr>
      <w:tr w:rsidR="00C775B2" w:rsidRPr="00E8353A" w14:paraId="145AE2BD" w14:textId="77777777" w:rsidTr="00E8353A">
        <w:trPr>
          <w:trHeight w:val="20"/>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3637C966" w14:textId="77777777" w:rsidR="00C775B2" w:rsidRPr="002C4941" w:rsidRDefault="00C775B2"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загальна сума витрат на дослідження та розробку, що включена до складу витрат звітного періоду</w:t>
            </w:r>
          </w:p>
        </w:tc>
        <w:tc>
          <w:tcPr>
            <w:tcW w:w="144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15362101" w14:textId="77777777" w:rsidR="00C775B2" w:rsidRPr="002C4941" w:rsidRDefault="00C775B2" w:rsidP="00E8353A">
            <w:pPr>
              <w:spacing w:after="0" w:line="240" w:lineRule="auto"/>
              <w:jc w:val="center"/>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351</w:t>
            </w:r>
          </w:p>
        </w:tc>
        <w:tc>
          <w:tcPr>
            <w:tcW w:w="495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589CD9C3" w14:textId="77777777" w:rsidR="00C775B2" w:rsidRPr="002C4941" w:rsidRDefault="00C775B2"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 xml:space="preserve">Сума витрат на дослідження та розробки за даними обліку. Включення даного рядка Мінфіном до капітальних інвестицій є дещо дивним, так як такі витрати не є капітальними інвестиціями і їм краще було б бути у розділі IX «Доходи та витрати». Крім того, витрати на дослідження й розробки не входять і до капітальних інвестицій в </w:t>
            </w:r>
            <w:hyperlink r:id="rId17" w:tgtFrame="_blank" w:history="1">
              <w:r w:rsidRPr="002C4941">
                <w:rPr>
                  <w:rFonts w:ascii="Times New Roman" w:eastAsia="Times New Roman" w:hAnsi="Times New Roman" w:cs="Times New Roman"/>
                  <w:color w:val="0000FF"/>
                  <w:sz w:val="20"/>
                  <w:szCs w:val="20"/>
                  <w:u w:val="single"/>
                  <w:lang w:eastAsia="uk-UA"/>
                </w:rPr>
                <w:t>нематеріальні активи</w:t>
              </w:r>
            </w:hyperlink>
            <w:r w:rsidRPr="002C4941">
              <w:rPr>
                <w:rFonts w:ascii="Times New Roman" w:eastAsia="Times New Roman" w:hAnsi="Times New Roman" w:cs="Times New Roman"/>
                <w:color w:val="323842"/>
                <w:sz w:val="20"/>
                <w:szCs w:val="20"/>
                <w:lang w:eastAsia="uk-UA"/>
              </w:rPr>
              <w:t xml:space="preserve">, про що прямо сказано у п. 12 розділу ІІ та п. 2.6 розділу VII </w:t>
            </w:r>
            <w:hyperlink r:id="rId18" w:anchor="Text" w:tgtFrame="_blank" w:history="1">
              <w:r w:rsidRPr="002C4941">
                <w:rPr>
                  <w:rFonts w:ascii="Times New Roman" w:eastAsia="Times New Roman" w:hAnsi="Times New Roman" w:cs="Times New Roman"/>
                  <w:color w:val="0000FF"/>
                  <w:sz w:val="20"/>
                  <w:szCs w:val="20"/>
                  <w:u w:val="single"/>
                  <w:lang w:eastAsia="uk-UA"/>
                </w:rPr>
                <w:t>НП(С)БО 122 «Нематеріальні активи»</w:t>
              </w:r>
            </w:hyperlink>
          </w:p>
        </w:tc>
      </w:tr>
      <w:tr w:rsidR="00C775B2" w:rsidRPr="00E8353A" w14:paraId="40EA9DB5" w14:textId="77777777" w:rsidTr="00E8353A">
        <w:trPr>
          <w:trHeight w:val="20"/>
        </w:trPr>
        <w:tc>
          <w:tcPr>
            <w:tcW w:w="0" w:type="auto"/>
            <w:gridSpan w:val="3"/>
            <w:tcBorders>
              <w:top w:val="outset" w:sz="6" w:space="0" w:color="000000"/>
              <w:left w:val="outset" w:sz="6" w:space="0" w:color="000000"/>
              <w:bottom w:val="outset" w:sz="6" w:space="0" w:color="000000"/>
              <w:right w:val="outset" w:sz="6" w:space="0" w:color="000000"/>
            </w:tcBorders>
            <w:shd w:val="clear" w:color="auto" w:fill="F2DBDB"/>
            <w:tcMar>
              <w:top w:w="0" w:type="dxa"/>
              <w:left w:w="0" w:type="dxa"/>
              <w:bottom w:w="0" w:type="dxa"/>
              <w:right w:w="0" w:type="dxa"/>
            </w:tcMar>
            <w:hideMark/>
          </w:tcPr>
          <w:p w14:paraId="7DB9186A" w14:textId="77777777" w:rsidR="00C775B2" w:rsidRPr="00E8353A" w:rsidRDefault="00C775B2" w:rsidP="00E8353A">
            <w:pPr>
              <w:spacing w:after="0" w:line="240" w:lineRule="auto"/>
              <w:jc w:val="center"/>
              <w:rPr>
                <w:rFonts w:ascii="Times New Roman" w:eastAsia="Times New Roman" w:hAnsi="Times New Roman" w:cs="Times New Roman"/>
                <w:color w:val="323842"/>
                <w:sz w:val="20"/>
                <w:szCs w:val="20"/>
                <w:lang w:eastAsia="uk-UA"/>
              </w:rPr>
            </w:pPr>
            <w:r w:rsidRPr="00E8353A">
              <w:rPr>
                <w:rFonts w:ascii="Times New Roman" w:eastAsia="Times New Roman" w:hAnsi="Times New Roman" w:cs="Times New Roman"/>
                <w:b/>
                <w:bCs/>
                <w:color w:val="323842"/>
                <w:sz w:val="20"/>
                <w:szCs w:val="20"/>
                <w:lang w:eastAsia="uk-UA"/>
              </w:rPr>
              <w:t>Розділ IV. Виробничі запаси</w:t>
            </w:r>
          </w:p>
        </w:tc>
      </w:tr>
      <w:tr w:rsidR="00C775B2" w:rsidRPr="00E8353A" w14:paraId="5249CE3F" w14:textId="77777777" w:rsidTr="00E8353A">
        <w:trPr>
          <w:trHeight w:val="20"/>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03B104B2" w14:textId="77777777" w:rsidR="00C775B2" w:rsidRPr="002C4941" w:rsidRDefault="00C775B2"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Продукти харчування</w:t>
            </w:r>
          </w:p>
        </w:tc>
        <w:tc>
          <w:tcPr>
            <w:tcW w:w="144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390DCF45" w14:textId="77777777" w:rsidR="00C775B2" w:rsidRPr="002C4941" w:rsidRDefault="00C775B2" w:rsidP="00E8353A">
            <w:pPr>
              <w:spacing w:after="0" w:line="240" w:lineRule="auto"/>
              <w:jc w:val="center"/>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360</w:t>
            </w:r>
          </w:p>
        </w:tc>
        <w:tc>
          <w:tcPr>
            <w:tcW w:w="4953" w:type="dxa"/>
            <w:vMerge w:val="restart"/>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61D56328" w14:textId="524E59B0" w:rsidR="00C775B2" w:rsidRPr="002C4941" w:rsidRDefault="009C0BDD"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 xml:space="preserve">Заповнюється </w:t>
            </w:r>
            <w:r w:rsidR="00C775B2" w:rsidRPr="002C4941">
              <w:rPr>
                <w:rFonts w:ascii="Times New Roman" w:eastAsia="Times New Roman" w:hAnsi="Times New Roman" w:cs="Times New Roman"/>
                <w:color w:val="323842"/>
                <w:sz w:val="20"/>
                <w:szCs w:val="20"/>
                <w:lang w:eastAsia="uk-UA"/>
              </w:rPr>
              <w:t>на основі залишків і оборотів за однойменними субрахунками 1511-1518. Як балансову вартість беремо залишки за цими субрахунками</w:t>
            </w:r>
          </w:p>
        </w:tc>
      </w:tr>
      <w:tr w:rsidR="00C775B2" w:rsidRPr="00E8353A" w14:paraId="20FEF577" w14:textId="77777777" w:rsidTr="00E8353A">
        <w:trPr>
          <w:trHeight w:val="20"/>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747A231F" w14:textId="77777777" w:rsidR="00C775B2" w:rsidRPr="002C4941" w:rsidRDefault="00C775B2"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Медикаменти та перев’язувальні матеріали</w:t>
            </w:r>
          </w:p>
        </w:tc>
        <w:tc>
          <w:tcPr>
            <w:tcW w:w="144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0CA24D1B" w14:textId="77777777" w:rsidR="00C775B2" w:rsidRPr="002C4941" w:rsidRDefault="00C775B2" w:rsidP="00E8353A">
            <w:pPr>
              <w:spacing w:after="0" w:line="240" w:lineRule="auto"/>
              <w:jc w:val="center"/>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370</w:t>
            </w:r>
          </w:p>
        </w:tc>
        <w:tc>
          <w:tcPr>
            <w:tcW w:w="4953" w:type="dxa"/>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974CD90" w14:textId="77777777" w:rsidR="00C775B2" w:rsidRPr="002C4941" w:rsidRDefault="00C775B2" w:rsidP="00E8353A">
            <w:pPr>
              <w:spacing w:after="0" w:line="240" w:lineRule="auto"/>
              <w:jc w:val="both"/>
              <w:rPr>
                <w:rFonts w:ascii="Times New Roman" w:eastAsia="Times New Roman" w:hAnsi="Times New Roman" w:cs="Times New Roman"/>
                <w:color w:val="323842"/>
                <w:sz w:val="20"/>
                <w:szCs w:val="20"/>
                <w:lang w:eastAsia="uk-UA"/>
              </w:rPr>
            </w:pPr>
          </w:p>
        </w:tc>
      </w:tr>
      <w:tr w:rsidR="00C775B2" w:rsidRPr="00E8353A" w14:paraId="31D06618" w14:textId="77777777" w:rsidTr="00E8353A">
        <w:trPr>
          <w:trHeight w:val="20"/>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701B9C23" w14:textId="77777777" w:rsidR="00C775B2" w:rsidRPr="002C4941" w:rsidRDefault="00C775B2"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Будівельні матеріали</w:t>
            </w:r>
          </w:p>
        </w:tc>
        <w:tc>
          <w:tcPr>
            <w:tcW w:w="144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6E41D69C" w14:textId="77777777" w:rsidR="00C775B2" w:rsidRPr="002C4941" w:rsidRDefault="00C775B2" w:rsidP="00E8353A">
            <w:pPr>
              <w:spacing w:after="0" w:line="240" w:lineRule="auto"/>
              <w:jc w:val="center"/>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380</w:t>
            </w:r>
          </w:p>
        </w:tc>
        <w:tc>
          <w:tcPr>
            <w:tcW w:w="4953" w:type="dxa"/>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ED30E16" w14:textId="77777777" w:rsidR="00C775B2" w:rsidRPr="002C4941" w:rsidRDefault="00C775B2" w:rsidP="00E8353A">
            <w:pPr>
              <w:spacing w:after="0" w:line="240" w:lineRule="auto"/>
              <w:jc w:val="both"/>
              <w:rPr>
                <w:rFonts w:ascii="Times New Roman" w:eastAsia="Times New Roman" w:hAnsi="Times New Roman" w:cs="Times New Roman"/>
                <w:color w:val="323842"/>
                <w:sz w:val="20"/>
                <w:szCs w:val="20"/>
                <w:lang w:eastAsia="uk-UA"/>
              </w:rPr>
            </w:pPr>
          </w:p>
        </w:tc>
      </w:tr>
      <w:tr w:rsidR="00C775B2" w:rsidRPr="00E8353A" w14:paraId="0E2EA6FD" w14:textId="77777777" w:rsidTr="00E8353A">
        <w:trPr>
          <w:trHeight w:val="20"/>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22E96330" w14:textId="77777777" w:rsidR="00C775B2" w:rsidRPr="002C4941" w:rsidRDefault="00C775B2"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Пально-мастильні матеріали</w:t>
            </w:r>
          </w:p>
        </w:tc>
        <w:tc>
          <w:tcPr>
            <w:tcW w:w="144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6E8EF250" w14:textId="77777777" w:rsidR="00C775B2" w:rsidRPr="002C4941" w:rsidRDefault="00C775B2" w:rsidP="00E8353A">
            <w:pPr>
              <w:spacing w:after="0" w:line="240" w:lineRule="auto"/>
              <w:jc w:val="center"/>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390</w:t>
            </w:r>
          </w:p>
        </w:tc>
        <w:tc>
          <w:tcPr>
            <w:tcW w:w="4953" w:type="dxa"/>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CF2EB02" w14:textId="77777777" w:rsidR="00C775B2" w:rsidRPr="002C4941" w:rsidRDefault="00C775B2" w:rsidP="00E8353A">
            <w:pPr>
              <w:spacing w:after="0" w:line="240" w:lineRule="auto"/>
              <w:jc w:val="both"/>
              <w:rPr>
                <w:rFonts w:ascii="Times New Roman" w:eastAsia="Times New Roman" w:hAnsi="Times New Roman" w:cs="Times New Roman"/>
                <w:color w:val="323842"/>
                <w:sz w:val="20"/>
                <w:szCs w:val="20"/>
                <w:lang w:eastAsia="uk-UA"/>
              </w:rPr>
            </w:pPr>
          </w:p>
        </w:tc>
      </w:tr>
      <w:tr w:rsidR="00C775B2" w:rsidRPr="00E8353A" w14:paraId="0E3037EE" w14:textId="77777777" w:rsidTr="00E8353A">
        <w:trPr>
          <w:trHeight w:val="20"/>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2EC8E3BF" w14:textId="77777777" w:rsidR="00C775B2" w:rsidRPr="002C4941" w:rsidRDefault="00C775B2"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Запасні частини</w:t>
            </w:r>
          </w:p>
        </w:tc>
        <w:tc>
          <w:tcPr>
            <w:tcW w:w="144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6BD5D3D3" w14:textId="77777777" w:rsidR="00C775B2" w:rsidRPr="002C4941" w:rsidRDefault="00C775B2" w:rsidP="00E8353A">
            <w:pPr>
              <w:spacing w:after="0" w:line="240" w:lineRule="auto"/>
              <w:jc w:val="center"/>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400</w:t>
            </w:r>
          </w:p>
        </w:tc>
        <w:tc>
          <w:tcPr>
            <w:tcW w:w="4953" w:type="dxa"/>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52C43C3" w14:textId="77777777" w:rsidR="00C775B2" w:rsidRPr="002C4941" w:rsidRDefault="00C775B2" w:rsidP="00E8353A">
            <w:pPr>
              <w:spacing w:after="0" w:line="240" w:lineRule="auto"/>
              <w:jc w:val="both"/>
              <w:rPr>
                <w:rFonts w:ascii="Times New Roman" w:eastAsia="Times New Roman" w:hAnsi="Times New Roman" w:cs="Times New Roman"/>
                <w:color w:val="323842"/>
                <w:sz w:val="20"/>
                <w:szCs w:val="20"/>
                <w:lang w:eastAsia="uk-UA"/>
              </w:rPr>
            </w:pPr>
          </w:p>
        </w:tc>
      </w:tr>
      <w:tr w:rsidR="00C775B2" w:rsidRPr="00E8353A" w14:paraId="5BF3DAAF" w14:textId="77777777" w:rsidTr="00E8353A">
        <w:trPr>
          <w:trHeight w:val="20"/>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6ADE5FC1" w14:textId="77777777" w:rsidR="00C775B2" w:rsidRPr="002C4941" w:rsidRDefault="00C775B2"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Тара</w:t>
            </w:r>
          </w:p>
        </w:tc>
        <w:tc>
          <w:tcPr>
            <w:tcW w:w="144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700C5517" w14:textId="77777777" w:rsidR="00C775B2" w:rsidRPr="002C4941" w:rsidRDefault="00C775B2" w:rsidP="00E8353A">
            <w:pPr>
              <w:spacing w:after="0" w:line="240" w:lineRule="auto"/>
              <w:jc w:val="center"/>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410</w:t>
            </w:r>
          </w:p>
        </w:tc>
        <w:tc>
          <w:tcPr>
            <w:tcW w:w="4953" w:type="dxa"/>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4293570" w14:textId="77777777" w:rsidR="00C775B2" w:rsidRPr="002C4941" w:rsidRDefault="00C775B2" w:rsidP="00E8353A">
            <w:pPr>
              <w:spacing w:after="0" w:line="240" w:lineRule="auto"/>
              <w:jc w:val="both"/>
              <w:rPr>
                <w:rFonts w:ascii="Times New Roman" w:eastAsia="Times New Roman" w:hAnsi="Times New Roman" w:cs="Times New Roman"/>
                <w:color w:val="323842"/>
                <w:sz w:val="20"/>
                <w:szCs w:val="20"/>
                <w:lang w:eastAsia="uk-UA"/>
              </w:rPr>
            </w:pPr>
          </w:p>
        </w:tc>
      </w:tr>
      <w:tr w:rsidR="00C775B2" w:rsidRPr="00E8353A" w14:paraId="21391B60" w14:textId="77777777" w:rsidTr="00E8353A">
        <w:trPr>
          <w:trHeight w:val="20"/>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351952FA" w14:textId="77777777" w:rsidR="00C775B2" w:rsidRPr="002C4941" w:rsidRDefault="00C775B2"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Сировина і матеріали</w:t>
            </w:r>
          </w:p>
        </w:tc>
        <w:tc>
          <w:tcPr>
            <w:tcW w:w="144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27910DC6" w14:textId="77777777" w:rsidR="00C775B2" w:rsidRPr="002C4941" w:rsidRDefault="00C775B2" w:rsidP="00E8353A">
            <w:pPr>
              <w:spacing w:after="0" w:line="240" w:lineRule="auto"/>
              <w:jc w:val="center"/>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420</w:t>
            </w:r>
          </w:p>
        </w:tc>
        <w:tc>
          <w:tcPr>
            <w:tcW w:w="4953" w:type="dxa"/>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2CA2D51" w14:textId="77777777" w:rsidR="00C775B2" w:rsidRPr="002C4941" w:rsidRDefault="00C775B2" w:rsidP="00E8353A">
            <w:pPr>
              <w:spacing w:after="0" w:line="240" w:lineRule="auto"/>
              <w:jc w:val="both"/>
              <w:rPr>
                <w:rFonts w:ascii="Times New Roman" w:eastAsia="Times New Roman" w:hAnsi="Times New Roman" w:cs="Times New Roman"/>
                <w:color w:val="323842"/>
                <w:sz w:val="20"/>
                <w:szCs w:val="20"/>
                <w:lang w:eastAsia="uk-UA"/>
              </w:rPr>
            </w:pPr>
          </w:p>
        </w:tc>
      </w:tr>
      <w:tr w:rsidR="00C775B2" w:rsidRPr="00E8353A" w14:paraId="00F4D49F" w14:textId="77777777" w:rsidTr="00E8353A">
        <w:trPr>
          <w:trHeight w:val="20"/>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26DBE608" w14:textId="77777777" w:rsidR="00C775B2" w:rsidRPr="002C4941" w:rsidRDefault="00C775B2"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lastRenderedPageBreak/>
              <w:t>Інші виробничі запаси</w:t>
            </w:r>
          </w:p>
        </w:tc>
        <w:tc>
          <w:tcPr>
            <w:tcW w:w="144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5D147534" w14:textId="77777777" w:rsidR="00C775B2" w:rsidRPr="002C4941" w:rsidRDefault="00C775B2" w:rsidP="00E8353A">
            <w:pPr>
              <w:spacing w:after="0" w:line="240" w:lineRule="auto"/>
              <w:jc w:val="center"/>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430</w:t>
            </w:r>
          </w:p>
        </w:tc>
        <w:tc>
          <w:tcPr>
            <w:tcW w:w="4953" w:type="dxa"/>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4E143D9" w14:textId="77777777" w:rsidR="00C775B2" w:rsidRPr="002C4941" w:rsidRDefault="00C775B2" w:rsidP="00E8353A">
            <w:pPr>
              <w:spacing w:after="0" w:line="240" w:lineRule="auto"/>
              <w:jc w:val="both"/>
              <w:rPr>
                <w:rFonts w:ascii="Times New Roman" w:eastAsia="Times New Roman" w:hAnsi="Times New Roman" w:cs="Times New Roman"/>
                <w:color w:val="323842"/>
                <w:sz w:val="20"/>
                <w:szCs w:val="20"/>
                <w:lang w:eastAsia="uk-UA"/>
              </w:rPr>
            </w:pPr>
          </w:p>
        </w:tc>
      </w:tr>
      <w:tr w:rsidR="00C775B2" w:rsidRPr="00E8353A" w14:paraId="3BE813BB" w14:textId="77777777" w:rsidTr="00E8353A">
        <w:trPr>
          <w:trHeight w:val="20"/>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4B8D83BF" w14:textId="77777777" w:rsidR="00C775B2" w:rsidRPr="002C4941" w:rsidRDefault="00C775B2"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Готова продукція</w:t>
            </w:r>
          </w:p>
        </w:tc>
        <w:tc>
          <w:tcPr>
            <w:tcW w:w="144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0F0401C5" w14:textId="77777777" w:rsidR="00C775B2" w:rsidRPr="002C4941" w:rsidRDefault="00C775B2" w:rsidP="00E8353A">
            <w:pPr>
              <w:spacing w:after="0" w:line="240" w:lineRule="auto"/>
              <w:jc w:val="center"/>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440</w:t>
            </w:r>
          </w:p>
        </w:tc>
        <w:tc>
          <w:tcPr>
            <w:tcW w:w="4953" w:type="dxa"/>
            <w:vMerge w:val="restart"/>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27C4972B" w14:textId="5DC7B8CD" w:rsidR="00C775B2" w:rsidRPr="002C4941" w:rsidRDefault="009C0BDD"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 xml:space="preserve">Заповнюється </w:t>
            </w:r>
            <w:r w:rsidR="00C775B2" w:rsidRPr="002C4941">
              <w:rPr>
                <w:rFonts w:ascii="Times New Roman" w:eastAsia="Times New Roman" w:hAnsi="Times New Roman" w:cs="Times New Roman"/>
                <w:color w:val="323842"/>
                <w:sz w:val="20"/>
                <w:szCs w:val="20"/>
                <w:lang w:eastAsia="uk-UA"/>
              </w:rPr>
              <w:t>на основі залишків і оборотів за однойменними субрахунками 1811-1816. Як балансову вартість беремо залишки за цими субрахунками</w:t>
            </w:r>
          </w:p>
        </w:tc>
      </w:tr>
      <w:tr w:rsidR="00C775B2" w:rsidRPr="00E8353A" w14:paraId="1102DCCA" w14:textId="77777777" w:rsidTr="00E8353A">
        <w:trPr>
          <w:trHeight w:val="20"/>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5149AEDF" w14:textId="77777777" w:rsidR="00C775B2" w:rsidRPr="002C4941" w:rsidRDefault="00C775B2"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Малоцінні та швидкозношувані предмети</w:t>
            </w:r>
          </w:p>
        </w:tc>
        <w:tc>
          <w:tcPr>
            <w:tcW w:w="144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12C674DC" w14:textId="77777777" w:rsidR="00C775B2" w:rsidRPr="002C4941" w:rsidRDefault="00C775B2" w:rsidP="00E8353A">
            <w:pPr>
              <w:spacing w:after="0" w:line="240" w:lineRule="auto"/>
              <w:jc w:val="center"/>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450</w:t>
            </w:r>
          </w:p>
        </w:tc>
        <w:tc>
          <w:tcPr>
            <w:tcW w:w="4953" w:type="dxa"/>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27DD936" w14:textId="77777777" w:rsidR="00C775B2" w:rsidRPr="002C4941" w:rsidRDefault="00C775B2" w:rsidP="00E8353A">
            <w:pPr>
              <w:spacing w:after="0" w:line="240" w:lineRule="auto"/>
              <w:jc w:val="both"/>
              <w:rPr>
                <w:rFonts w:ascii="Times New Roman" w:eastAsia="Times New Roman" w:hAnsi="Times New Roman" w:cs="Times New Roman"/>
                <w:color w:val="323842"/>
                <w:sz w:val="20"/>
                <w:szCs w:val="20"/>
                <w:lang w:eastAsia="uk-UA"/>
              </w:rPr>
            </w:pPr>
          </w:p>
        </w:tc>
      </w:tr>
      <w:tr w:rsidR="00C775B2" w:rsidRPr="00E8353A" w14:paraId="59CC1B54" w14:textId="77777777" w:rsidTr="00E8353A">
        <w:trPr>
          <w:trHeight w:val="20"/>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35DCE1A3" w14:textId="77777777" w:rsidR="00C775B2" w:rsidRPr="002C4941" w:rsidRDefault="00C775B2"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Державні матеріальні резерви та запаси</w:t>
            </w:r>
          </w:p>
        </w:tc>
        <w:tc>
          <w:tcPr>
            <w:tcW w:w="144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75C90327" w14:textId="77777777" w:rsidR="00C775B2" w:rsidRPr="002C4941" w:rsidRDefault="00C775B2" w:rsidP="00E8353A">
            <w:pPr>
              <w:spacing w:after="0" w:line="240" w:lineRule="auto"/>
              <w:jc w:val="center"/>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460</w:t>
            </w:r>
          </w:p>
        </w:tc>
        <w:tc>
          <w:tcPr>
            <w:tcW w:w="4953" w:type="dxa"/>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B8AE04F" w14:textId="77777777" w:rsidR="00C775B2" w:rsidRPr="002C4941" w:rsidRDefault="00C775B2" w:rsidP="00E8353A">
            <w:pPr>
              <w:spacing w:after="0" w:line="240" w:lineRule="auto"/>
              <w:jc w:val="both"/>
              <w:rPr>
                <w:rFonts w:ascii="Times New Roman" w:eastAsia="Times New Roman" w:hAnsi="Times New Roman" w:cs="Times New Roman"/>
                <w:color w:val="323842"/>
                <w:sz w:val="20"/>
                <w:szCs w:val="20"/>
                <w:lang w:eastAsia="uk-UA"/>
              </w:rPr>
            </w:pPr>
          </w:p>
        </w:tc>
      </w:tr>
      <w:tr w:rsidR="00C775B2" w:rsidRPr="00E8353A" w14:paraId="0B4E7A80" w14:textId="77777777" w:rsidTr="00E8353A">
        <w:trPr>
          <w:trHeight w:val="20"/>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06413D30" w14:textId="77777777" w:rsidR="00C775B2" w:rsidRPr="002C4941" w:rsidRDefault="00C775B2"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Активи для розподілу, передачі, продажу</w:t>
            </w:r>
          </w:p>
        </w:tc>
        <w:tc>
          <w:tcPr>
            <w:tcW w:w="144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0FD4FB7C" w14:textId="77777777" w:rsidR="00C775B2" w:rsidRPr="002C4941" w:rsidRDefault="00C775B2" w:rsidP="00E8353A">
            <w:pPr>
              <w:spacing w:after="0" w:line="240" w:lineRule="auto"/>
              <w:jc w:val="center"/>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470</w:t>
            </w:r>
          </w:p>
        </w:tc>
        <w:tc>
          <w:tcPr>
            <w:tcW w:w="4953" w:type="dxa"/>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8C07B7E" w14:textId="77777777" w:rsidR="00C775B2" w:rsidRPr="002C4941" w:rsidRDefault="00C775B2" w:rsidP="00E8353A">
            <w:pPr>
              <w:spacing w:after="0" w:line="240" w:lineRule="auto"/>
              <w:jc w:val="both"/>
              <w:rPr>
                <w:rFonts w:ascii="Times New Roman" w:eastAsia="Times New Roman" w:hAnsi="Times New Roman" w:cs="Times New Roman"/>
                <w:color w:val="323842"/>
                <w:sz w:val="20"/>
                <w:szCs w:val="20"/>
                <w:lang w:eastAsia="uk-UA"/>
              </w:rPr>
            </w:pPr>
          </w:p>
        </w:tc>
      </w:tr>
      <w:tr w:rsidR="00C775B2" w:rsidRPr="00E8353A" w14:paraId="42DD2E4E" w14:textId="77777777" w:rsidTr="00E8353A">
        <w:trPr>
          <w:trHeight w:val="20"/>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5CBE3F5D" w14:textId="77777777" w:rsidR="00C775B2" w:rsidRPr="002C4941" w:rsidRDefault="00C775B2"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Інші нефінансові активи</w:t>
            </w:r>
          </w:p>
        </w:tc>
        <w:tc>
          <w:tcPr>
            <w:tcW w:w="144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0991BBD7" w14:textId="77777777" w:rsidR="00C775B2" w:rsidRPr="002C4941" w:rsidRDefault="00C775B2" w:rsidP="00E8353A">
            <w:pPr>
              <w:spacing w:after="0" w:line="240" w:lineRule="auto"/>
              <w:jc w:val="center"/>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480</w:t>
            </w:r>
          </w:p>
        </w:tc>
        <w:tc>
          <w:tcPr>
            <w:tcW w:w="4953" w:type="dxa"/>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6DFCD8B" w14:textId="77777777" w:rsidR="00C775B2" w:rsidRPr="002C4941" w:rsidRDefault="00C775B2" w:rsidP="00E8353A">
            <w:pPr>
              <w:spacing w:after="0" w:line="240" w:lineRule="auto"/>
              <w:jc w:val="both"/>
              <w:rPr>
                <w:rFonts w:ascii="Times New Roman" w:eastAsia="Times New Roman" w:hAnsi="Times New Roman" w:cs="Times New Roman"/>
                <w:color w:val="323842"/>
                <w:sz w:val="20"/>
                <w:szCs w:val="20"/>
                <w:lang w:eastAsia="uk-UA"/>
              </w:rPr>
            </w:pPr>
          </w:p>
        </w:tc>
      </w:tr>
      <w:tr w:rsidR="00C775B2" w:rsidRPr="00E8353A" w14:paraId="3FE3433A" w14:textId="77777777" w:rsidTr="00E8353A">
        <w:trPr>
          <w:trHeight w:val="20"/>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3A4633E3" w14:textId="77777777" w:rsidR="00C775B2" w:rsidRPr="002C4941" w:rsidRDefault="00C775B2"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Незавершене виробництво запасів</w:t>
            </w:r>
          </w:p>
        </w:tc>
        <w:tc>
          <w:tcPr>
            <w:tcW w:w="144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3241653B" w14:textId="77777777" w:rsidR="00C775B2" w:rsidRPr="002C4941" w:rsidRDefault="00C775B2" w:rsidP="00E8353A">
            <w:pPr>
              <w:spacing w:after="0" w:line="240" w:lineRule="auto"/>
              <w:jc w:val="center"/>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490</w:t>
            </w:r>
          </w:p>
        </w:tc>
        <w:tc>
          <w:tcPr>
            <w:tcW w:w="495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11D55324" w14:textId="5146FA23" w:rsidR="00C775B2" w:rsidRPr="002C4941" w:rsidRDefault="009C0BDD"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 xml:space="preserve">заповнюється </w:t>
            </w:r>
            <w:r w:rsidR="00C775B2" w:rsidRPr="002C4941">
              <w:rPr>
                <w:rFonts w:ascii="Times New Roman" w:eastAsia="Times New Roman" w:hAnsi="Times New Roman" w:cs="Times New Roman"/>
                <w:color w:val="323842"/>
                <w:sz w:val="20"/>
                <w:szCs w:val="20"/>
                <w:lang w:eastAsia="uk-UA"/>
              </w:rPr>
              <w:t>за даними субрахунку 1613 «Інше виробництво» у частині обліку витрат на виробництво продукції або інших запасів</w:t>
            </w:r>
          </w:p>
        </w:tc>
      </w:tr>
      <w:tr w:rsidR="00C775B2" w:rsidRPr="00E8353A" w14:paraId="04F68CB6" w14:textId="77777777" w:rsidTr="00E8353A">
        <w:trPr>
          <w:trHeight w:val="20"/>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0C96D5ED" w14:textId="77777777" w:rsidR="00C775B2" w:rsidRPr="002C4941" w:rsidRDefault="00C775B2"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Усього</w:t>
            </w:r>
          </w:p>
        </w:tc>
        <w:tc>
          <w:tcPr>
            <w:tcW w:w="144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11998E03" w14:textId="77777777" w:rsidR="00C775B2" w:rsidRPr="002C4941" w:rsidRDefault="00C775B2" w:rsidP="00E8353A">
            <w:pPr>
              <w:spacing w:after="0" w:line="240" w:lineRule="auto"/>
              <w:jc w:val="center"/>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500</w:t>
            </w:r>
          </w:p>
        </w:tc>
        <w:tc>
          <w:tcPr>
            <w:tcW w:w="495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4AE9C34F" w14:textId="7BCA7D84" w:rsidR="00C775B2" w:rsidRPr="002C4941" w:rsidRDefault="008C7C94" w:rsidP="008C7C94">
            <w:pPr>
              <w:spacing w:after="0" w:line="240" w:lineRule="auto"/>
              <w:jc w:val="center"/>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val="ru-RU" w:eastAsia="uk-UA"/>
              </w:rPr>
              <w:t>с</w:t>
            </w:r>
            <w:r w:rsidR="00C775B2" w:rsidRPr="002C4941">
              <w:rPr>
                <w:rFonts w:ascii="Times New Roman" w:eastAsia="Times New Roman" w:hAnsi="Times New Roman" w:cs="Times New Roman"/>
                <w:color w:val="323842"/>
                <w:sz w:val="20"/>
                <w:szCs w:val="20"/>
                <w:lang w:eastAsia="uk-UA"/>
              </w:rPr>
              <w:t>ума має співпадати з ряд. 1050 + ряд. 1060 гр. 3 (гр. 4) форми 1-дс</w:t>
            </w:r>
          </w:p>
        </w:tc>
      </w:tr>
      <w:tr w:rsidR="00C775B2" w:rsidRPr="00E8353A" w14:paraId="1B314F4A" w14:textId="77777777" w:rsidTr="00E8353A">
        <w:trPr>
          <w:trHeight w:val="20"/>
        </w:trPr>
        <w:tc>
          <w:tcPr>
            <w:tcW w:w="4670"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0180E1E3" w14:textId="77777777" w:rsidR="00C775B2" w:rsidRPr="002C4941" w:rsidRDefault="00C775B2" w:rsidP="00E8353A">
            <w:pPr>
              <w:spacing w:after="0" w:line="240" w:lineRule="auto"/>
              <w:jc w:val="center"/>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b/>
                <w:bCs/>
                <w:color w:val="323842"/>
                <w:sz w:val="20"/>
                <w:szCs w:val="20"/>
                <w:lang w:eastAsia="uk-UA"/>
              </w:rPr>
              <w:t>Додаткові рядки:</w:t>
            </w:r>
          </w:p>
        </w:tc>
        <w:tc>
          <w:tcPr>
            <w:tcW w:w="495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486664AE" w14:textId="77777777" w:rsidR="00C775B2" w:rsidRPr="002C4941" w:rsidRDefault="00C775B2" w:rsidP="00E8353A">
            <w:pPr>
              <w:spacing w:after="0" w:line="240" w:lineRule="auto"/>
              <w:jc w:val="both"/>
              <w:rPr>
                <w:rFonts w:ascii="Times New Roman" w:eastAsia="Times New Roman" w:hAnsi="Times New Roman" w:cs="Times New Roman"/>
                <w:color w:val="323842"/>
                <w:sz w:val="20"/>
                <w:szCs w:val="20"/>
                <w:lang w:eastAsia="uk-UA"/>
              </w:rPr>
            </w:pPr>
          </w:p>
        </w:tc>
      </w:tr>
      <w:tr w:rsidR="00C775B2" w:rsidRPr="00E8353A" w14:paraId="68D26C71" w14:textId="77777777" w:rsidTr="00E8353A">
        <w:trPr>
          <w:trHeight w:val="20"/>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4DBB9449" w14:textId="77777777" w:rsidR="00C775B2" w:rsidRPr="002C4941" w:rsidRDefault="00C775B2"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відображені за чистою вартістю реалізації</w:t>
            </w:r>
          </w:p>
        </w:tc>
        <w:tc>
          <w:tcPr>
            <w:tcW w:w="144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30349C85" w14:textId="77777777" w:rsidR="00C775B2" w:rsidRPr="002C4941" w:rsidRDefault="00C775B2"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507</w:t>
            </w:r>
          </w:p>
        </w:tc>
        <w:tc>
          <w:tcPr>
            <w:tcW w:w="495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6D6578A6" w14:textId="117A71E8" w:rsidR="00C775B2" w:rsidRPr="002C4941" w:rsidRDefault="00C775B2"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Відобража</w:t>
            </w:r>
            <w:r w:rsidR="009C0BDD" w:rsidRPr="002C4941">
              <w:rPr>
                <w:rFonts w:ascii="Times New Roman" w:eastAsia="Times New Roman" w:hAnsi="Times New Roman" w:cs="Times New Roman"/>
                <w:color w:val="323842"/>
                <w:sz w:val="20"/>
                <w:szCs w:val="20"/>
                <w:lang w:eastAsia="uk-UA"/>
              </w:rPr>
              <w:t>ються</w:t>
            </w:r>
            <w:r w:rsidRPr="002C4941">
              <w:rPr>
                <w:rFonts w:ascii="Times New Roman" w:eastAsia="Times New Roman" w:hAnsi="Times New Roman" w:cs="Times New Roman"/>
                <w:color w:val="323842"/>
                <w:sz w:val="20"/>
                <w:szCs w:val="20"/>
                <w:lang w:eastAsia="uk-UA"/>
              </w:rPr>
              <w:t xml:space="preserve"> ті запаси, щодо яких застосовувалася уцінка. На дату балансу запаси за п. 1 розділу ІІІ </w:t>
            </w:r>
            <w:hyperlink r:id="rId19" w:anchor="Text" w:tgtFrame="_blank" w:history="1">
              <w:r w:rsidRPr="002C4941">
                <w:rPr>
                  <w:rFonts w:ascii="Times New Roman" w:eastAsia="Times New Roman" w:hAnsi="Times New Roman" w:cs="Times New Roman"/>
                  <w:color w:val="0000FF"/>
                  <w:sz w:val="20"/>
                  <w:szCs w:val="20"/>
                  <w:u w:val="single"/>
                  <w:lang w:eastAsia="uk-UA"/>
                </w:rPr>
                <w:t>НП(С)БОДС 123 «Запаси»</w:t>
              </w:r>
            </w:hyperlink>
            <w:r w:rsidRPr="002C4941">
              <w:rPr>
                <w:rFonts w:ascii="Times New Roman" w:eastAsia="Times New Roman" w:hAnsi="Times New Roman" w:cs="Times New Roman"/>
                <w:color w:val="323842"/>
                <w:sz w:val="20"/>
                <w:szCs w:val="20"/>
                <w:lang w:eastAsia="uk-UA"/>
              </w:rPr>
              <w:t xml:space="preserve"> мають відображатися за найменшою з двох вартостей: первісною або чистою вартістю реалізації (вартість, за яку їх можна реалізувати за мінусом витрат на таку реалізацію)</w:t>
            </w:r>
          </w:p>
        </w:tc>
      </w:tr>
      <w:tr w:rsidR="00C775B2" w:rsidRPr="00E8353A" w14:paraId="3F5BEC92" w14:textId="77777777" w:rsidTr="00E8353A">
        <w:trPr>
          <w:trHeight w:val="20"/>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6B9719DE" w14:textId="77777777" w:rsidR="00C775B2" w:rsidRPr="002C4941" w:rsidRDefault="00C775B2"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відображені за відновлювальною вартістю</w:t>
            </w:r>
          </w:p>
        </w:tc>
        <w:tc>
          <w:tcPr>
            <w:tcW w:w="144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1EC84C4B" w14:textId="77777777" w:rsidR="00C775B2" w:rsidRPr="002C4941" w:rsidRDefault="00C775B2"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508</w:t>
            </w:r>
          </w:p>
        </w:tc>
        <w:tc>
          <w:tcPr>
            <w:tcW w:w="495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0523896E" w14:textId="77777777" w:rsidR="00C775B2" w:rsidRPr="002C4941" w:rsidRDefault="00C775B2"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 xml:space="preserve">Відновлювальна вартість застосовується щодо запасів, які утримуються з метою безоплатного розподілу, передачі, а також ті, щодо яких не існує активного ринку, тобто не можна визначити справедливу вартість. Запаси тоді відображаються в обліку за найменшою з двох вартостей: первісною або відновлювальною (п. 4 </w:t>
            </w:r>
            <w:hyperlink r:id="rId20" w:anchor="Text" w:tgtFrame="_blank" w:history="1">
              <w:r w:rsidRPr="002C4941">
                <w:rPr>
                  <w:rFonts w:ascii="Times New Roman" w:eastAsia="Times New Roman" w:hAnsi="Times New Roman" w:cs="Times New Roman"/>
                  <w:color w:val="0000FF"/>
                  <w:sz w:val="20"/>
                  <w:szCs w:val="20"/>
                  <w:u w:val="single"/>
                  <w:lang w:eastAsia="uk-UA"/>
                </w:rPr>
                <w:t>НП(С)БОДС 123 «Запаси»</w:t>
              </w:r>
            </w:hyperlink>
            <w:r w:rsidRPr="002C4941">
              <w:rPr>
                <w:rFonts w:ascii="Times New Roman" w:eastAsia="Times New Roman" w:hAnsi="Times New Roman" w:cs="Times New Roman"/>
                <w:color w:val="323842"/>
                <w:sz w:val="20"/>
                <w:szCs w:val="20"/>
                <w:lang w:eastAsia="uk-UA"/>
              </w:rPr>
              <w:t xml:space="preserve">). </w:t>
            </w:r>
            <w:r w:rsidRPr="002C4941">
              <w:rPr>
                <w:rFonts w:ascii="Times New Roman" w:eastAsia="Times New Roman" w:hAnsi="Times New Roman" w:cs="Times New Roman"/>
                <w:b/>
                <w:bCs/>
                <w:color w:val="323842"/>
                <w:sz w:val="20"/>
                <w:szCs w:val="20"/>
                <w:lang w:eastAsia="uk-UA"/>
              </w:rPr>
              <w:t>Відновлювальна вартість</w:t>
            </w:r>
            <w:r w:rsidRPr="002C4941">
              <w:rPr>
                <w:rFonts w:ascii="Times New Roman" w:eastAsia="Times New Roman" w:hAnsi="Times New Roman" w:cs="Times New Roman"/>
                <w:color w:val="323842"/>
                <w:sz w:val="20"/>
                <w:szCs w:val="20"/>
                <w:lang w:eastAsia="uk-UA"/>
              </w:rPr>
              <w:t xml:space="preserve"> – це сучасна собівартість придбання, тобто та вартість, за якою можна зараз виготовити або придбати подібний актив з поправкою на його нинішній фізичний стан</w:t>
            </w:r>
          </w:p>
        </w:tc>
      </w:tr>
      <w:tr w:rsidR="00C775B2" w:rsidRPr="00E8353A" w14:paraId="4D2CBA4B" w14:textId="77777777" w:rsidTr="00E8353A">
        <w:trPr>
          <w:trHeight w:val="20"/>
        </w:trPr>
        <w:tc>
          <w:tcPr>
            <w:tcW w:w="0" w:type="auto"/>
            <w:gridSpan w:val="3"/>
            <w:tcBorders>
              <w:top w:val="outset" w:sz="6" w:space="0" w:color="000000"/>
              <w:left w:val="outset" w:sz="6" w:space="0" w:color="000000"/>
              <w:bottom w:val="outset" w:sz="6" w:space="0" w:color="000000"/>
              <w:right w:val="outset" w:sz="6" w:space="0" w:color="000000"/>
            </w:tcBorders>
            <w:shd w:val="clear" w:color="auto" w:fill="F2DBDB"/>
            <w:tcMar>
              <w:top w:w="0" w:type="dxa"/>
              <w:left w:w="0" w:type="dxa"/>
              <w:bottom w:w="0" w:type="dxa"/>
              <w:right w:w="0" w:type="dxa"/>
            </w:tcMar>
            <w:hideMark/>
          </w:tcPr>
          <w:p w14:paraId="448F6BF0" w14:textId="77777777" w:rsidR="00C775B2" w:rsidRPr="00E8353A" w:rsidRDefault="00C775B2" w:rsidP="00E8353A">
            <w:pPr>
              <w:spacing w:after="0" w:line="240" w:lineRule="auto"/>
              <w:jc w:val="center"/>
              <w:rPr>
                <w:rFonts w:ascii="Times New Roman" w:eastAsia="Times New Roman" w:hAnsi="Times New Roman" w:cs="Times New Roman"/>
                <w:color w:val="323842"/>
                <w:sz w:val="20"/>
                <w:szCs w:val="20"/>
                <w:lang w:eastAsia="uk-UA"/>
              </w:rPr>
            </w:pPr>
            <w:r w:rsidRPr="00E8353A">
              <w:rPr>
                <w:rFonts w:ascii="Times New Roman" w:eastAsia="Times New Roman" w:hAnsi="Times New Roman" w:cs="Times New Roman"/>
                <w:b/>
                <w:bCs/>
                <w:color w:val="323842"/>
                <w:sz w:val="20"/>
                <w:szCs w:val="20"/>
                <w:lang w:eastAsia="uk-UA"/>
              </w:rPr>
              <w:t>Розділ VI. Зобов'язання</w:t>
            </w:r>
          </w:p>
        </w:tc>
      </w:tr>
      <w:tr w:rsidR="00C775B2" w:rsidRPr="00E8353A" w14:paraId="551616F7" w14:textId="77777777" w:rsidTr="00E8353A">
        <w:trPr>
          <w:trHeight w:val="20"/>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47F39C7F" w14:textId="77777777" w:rsidR="00C775B2" w:rsidRPr="002C4941" w:rsidRDefault="00C775B2"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Довгострокові</w:t>
            </w:r>
          </w:p>
        </w:tc>
        <w:tc>
          <w:tcPr>
            <w:tcW w:w="144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67C79863" w14:textId="77777777" w:rsidR="00C775B2" w:rsidRPr="002C4941" w:rsidRDefault="00C775B2" w:rsidP="009C0BDD">
            <w:pPr>
              <w:spacing w:after="0" w:line="240" w:lineRule="auto"/>
              <w:jc w:val="center"/>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600</w:t>
            </w:r>
          </w:p>
        </w:tc>
        <w:tc>
          <w:tcPr>
            <w:tcW w:w="495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6F2E0F83" w14:textId="3B0BD195" w:rsidR="00C775B2" w:rsidRPr="002C4941" w:rsidRDefault="009C0BDD"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 xml:space="preserve">Заповнюється </w:t>
            </w:r>
            <w:r w:rsidR="00C775B2" w:rsidRPr="002C4941">
              <w:rPr>
                <w:rFonts w:ascii="Times New Roman" w:eastAsia="Times New Roman" w:hAnsi="Times New Roman" w:cs="Times New Roman"/>
                <w:color w:val="323842"/>
                <w:sz w:val="20"/>
                <w:szCs w:val="20"/>
                <w:lang w:eastAsia="uk-UA"/>
              </w:rPr>
              <w:t>на основі даних субрахунків 6011-6016. У гр. 5 «до 12 місяців ставимо знак «х», так як довгострокові зобов’язання мають строк більше 12 місяців</w:t>
            </w:r>
          </w:p>
        </w:tc>
      </w:tr>
      <w:tr w:rsidR="00C775B2" w:rsidRPr="00E8353A" w14:paraId="3AA1DD3A" w14:textId="77777777" w:rsidTr="00E8353A">
        <w:trPr>
          <w:trHeight w:val="20"/>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4B7BDDAB" w14:textId="77777777" w:rsidR="00C775B2" w:rsidRPr="002C4941" w:rsidRDefault="00C775B2"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Поточні</w:t>
            </w:r>
          </w:p>
        </w:tc>
        <w:tc>
          <w:tcPr>
            <w:tcW w:w="144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69F3BE16" w14:textId="77777777" w:rsidR="00C775B2" w:rsidRPr="002C4941" w:rsidRDefault="00C775B2" w:rsidP="009C0BDD">
            <w:pPr>
              <w:spacing w:after="0" w:line="240" w:lineRule="auto"/>
              <w:jc w:val="center"/>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610</w:t>
            </w:r>
          </w:p>
        </w:tc>
        <w:tc>
          <w:tcPr>
            <w:tcW w:w="495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46D05172" w14:textId="7EBB97BC" w:rsidR="00C775B2" w:rsidRPr="002C4941" w:rsidRDefault="009C0BDD"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 xml:space="preserve">Заповнюється </w:t>
            </w:r>
            <w:r w:rsidR="00C775B2" w:rsidRPr="002C4941">
              <w:rPr>
                <w:rFonts w:ascii="Times New Roman" w:eastAsia="Times New Roman" w:hAnsi="Times New Roman" w:cs="Times New Roman"/>
                <w:color w:val="323842"/>
                <w:sz w:val="20"/>
                <w:szCs w:val="20"/>
                <w:lang w:eastAsia="uk-UA"/>
              </w:rPr>
              <w:t>на основі даних субрахунків 6111-6117. У гр. 6 «більше 12 місяців ставимо знак «х», так як поточні зобов’язання мають строк до 12 місяців.</w:t>
            </w:r>
          </w:p>
          <w:p w14:paraId="40D15B21" w14:textId="77777777" w:rsidR="00C775B2" w:rsidRPr="002C4941" w:rsidRDefault="00C775B2"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Тут же (гр. 5) відображаються зобов'язання за коштами, отриманими в тимчасове розпорядження (Роз’яснення ДКСУ*)</w:t>
            </w:r>
          </w:p>
        </w:tc>
      </w:tr>
      <w:tr w:rsidR="00C775B2" w:rsidRPr="00E8353A" w14:paraId="16210D75" w14:textId="77777777" w:rsidTr="00E8353A">
        <w:trPr>
          <w:trHeight w:val="20"/>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6EB0C48C" w14:textId="77777777" w:rsidR="00C775B2" w:rsidRPr="002C4941" w:rsidRDefault="00C775B2"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Доходи майбутніх періодів</w:t>
            </w:r>
          </w:p>
        </w:tc>
        <w:tc>
          <w:tcPr>
            <w:tcW w:w="144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0E711DD5" w14:textId="77777777" w:rsidR="00C775B2" w:rsidRPr="002C4941" w:rsidRDefault="00C775B2" w:rsidP="009C0BDD">
            <w:pPr>
              <w:spacing w:after="0" w:line="240" w:lineRule="auto"/>
              <w:jc w:val="center"/>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620</w:t>
            </w:r>
          </w:p>
        </w:tc>
        <w:tc>
          <w:tcPr>
            <w:tcW w:w="495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2492284E" w14:textId="37805F80" w:rsidR="00C775B2" w:rsidRPr="002C4941" w:rsidRDefault="009C0BDD"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 xml:space="preserve">Заповнюється </w:t>
            </w:r>
            <w:r w:rsidR="00C775B2" w:rsidRPr="002C4941">
              <w:rPr>
                <w:rFonts w:ascii="Times New Roman" w:eastAsia="Times New Roman" w:hAnsi="Times New Roman" w:cs="Times New Roman"/>
                <w:color w:val="323842"/>
                <w:sz w:val="20"/>
                <w:szCs w:val="20"/>
                <w:lang w:eastAsia="uk-UA"/>
              </w:rPr>
              <w:t xml:space="preserve">за субрахунком 6911. Вони, до речі, можуть бути і «до 12 місяців» і «більше 12 місяців», тому у гр. 5 і 6 </w:t>
            </w:r>
            <w:r w:rsidRPr="002C4941">
              <w:rPr>
                <w:rFonts w:ascii="Times New Roman" w:eastAsia="Times New Roman" w:hAnsi="Times New Roman" w:cs="Times New Roman"/>
                <w:color w:val="323842"/>
                <w:sz w:val="20"/>
                <w:szCs w:val="20"/>
                <w:lang w:eastAsia="uk-UA"/>
              </w:rPr>
              <w:t>вказується</w:t>
            </w:r>
            <w:r w:rsidR="00C775B2" w:rsidRPr="002C4941">
              <w:rPr>
                <w:rFonts w:ascii="Times New Roman" w:eastAsia="Times New Roman" w:hAnsi="Times New Roman" w:cs="Times New Roman"/>
                <w:color w:val="323842"/>
                <w:sz w:val="20"/>
                <w:szCs w:val="20"/>
                <w:lang w:eastAsia="uk-UA"/>
              </w:rPr>
              <w:t xml:space="preserve"> відповідн</w:t>
            </w:r>
            <w:r w:rsidRPr="002C4941">
              <w:rPr>
                <w:rFonts w:ascii="Times New Roman" w:eastAsia="Times New Roman" w:hAnsi="Times New Roman" w:cs="Times New Roman"/>
                <w:color w:val="323842"/>
                <w:sz w:val="20"/>
                <w:szCs w:val="20"/>
                <w:lang w:eastAsia="uk-UA"/>
              </w:rPr>
              <w:t>а</w:t>
            </w:r>
            <w:r w:rsidR="00C775B2" w:rsidRPr="002C4941">
              <w:rPr>
                <w:rFonts w:ascii="Times New Roman" w:eastAsia="Times New Roman" w:hAnsi="Times New Roman" w:cs="Times New Roman"/>
                <w:color w:val="323842"/>
                <w:sz w:val="20"/>
                <w:szCs w:val="20"/>
                <w:lang w:eastAsia="uk-UA"/>
              </w:rPr>
              <w:t xml:space="preserve"> суму</w:t>
            </w:r>
          </w:p>
        </w:tc>
      </w:tr>
      <w:tr w:rsidR="00C775B2" w:rsidRPr="00E8353A" w14:paraId="6D75FC17" w14:textId="77777777" w:rsidTr="00E8353A">
        <w:trPr>
          <w:trHeight w:val="20"/>
        </w:trPr>
        <w:tc>
          <w:tcPr>
            <w:tcW w:w="0" w:type="auto"/>
            <w:gridSpan w:val="3"/>
            <w:tcBorders>
              <w:top w:val="outset" w:sz="6" w:space="0" w:color="000000"/>
              <w:left w:val="outset" w:sz="6" w:space="0" w:color="000000"/>
              <w:bottom w:val="outset" w:sz="6" w:space="0" w:color="000000"/>
              <w:right w:val="outset" w:sz="6" w:space="0" w:color="000000"/>
            </w:tcBorders>
            <w:shd w:val="clear" w:color="auto" w:fill="F2DBDB"/>
            <w:tcMar>
              <w:top w:w="0" w:type="dxa"/>
              <w:left w:w="0" w:type="dxa"/>
              <w:bottom w:w="0" w:type="dxa"/>
              <w:right w:w="0" w:type="dxa"/>
            </w:tcMar>
            <w:hideMark/>
          </w:tcPr>
          <w:p w14:paraId="0D0E022C" w14:textId="77777777" w:rsidR="00C775B2" w:rsidRPr="00E8353A" w:rsidRDefault="00C775B2" w:rsidP="00E8353A">
            <w:pPr>
              <w:spacing w:after="0" w:line="240" w:lineRule="auto"/>
              <w:jc w:val="center"/>
              <w:rPr>
                <w:rFonts w:ascii="Times New Roman" w:eastAsia="Times New Roman" w:hAnsi="Times New Roman" w:cs="Times New Roman"/>
                <w:color w:val="323842"/>
                <w:sz w:val="20"/>
                <w:szCs w:val="20"/>
                <w:lang w:eastAsia="uk-UA"/>
              </w:rPr>
            </w:pPr>
            <w:r w:rsidRPr="00E8353A">
              <w:rPr>
                <w:rFonts w:ascii="Times New Roman" w:eastAsia="Times New Roman" w:hAnsi="Times New Roman" w:cs="Times New Roman"/>
                <w:b/>
                <w:bCs/>
                <w:color w:val="323842"/>
                <w:sz w:val="20"/>
                <w:szCs w:val="20"/>
                <w:lang w:eastAsia="uk-UA"/>
              </w:rPr>
              <w:t>Розділ VII. Дебіторська заборгованість</w:t>
            </w:r>
          </w:p>
        </w:tc>
      </w:tr>
      <w:tr w:rsidR="00C775B2" w:rsidRPr="00E8353A" w14:paraId="255E7ECD" w14:textId="77777777" w:rsidTr="00E8353A">
        <w:trPr>
          <w:trHeight w:val="20"/>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625501B4" w14:textId="77777777" w:rsidR="00C775B2" w:rsidRPr="002C4941" w:rsidRDefault="00C775B2"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Довгострокова дебіторська заборгованість</w:t>
            </w:r>
          </w:p>
        </w:tc>
        <w:tc>
          <w:tcPr>
            <w:tcW w:w="144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722F4043" w14:textId="77777777" w:rsidR="00C775B2" w:rsidRPr="002C4941" w:rsidRDefault="00C775B2" w:rsidP="009C0BDD">
            <w:pPr>
              <w:spacing w:after="0" w:line="240" w:lineRule="auto"/>
              <w:jc w:val="center"/>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650-651</w:t>
            </w:r>
          </w:p>
        </w:tc>
        <w:tc>
          <w:tcPr>
            <w:tcW w:w="495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19C13D6F" w14:textId="0D3067A3" w:rsidR="00C775B2" w:rsidRPr="002C4941" w:rsidRDefault="009C0BDD" w:rsidP="00E8353A">
            <w:pPr>
              <w:spacing w:after="0" w:line="240" w:lineRule="auto"/>
              <w:jc w:val="both"/>
              <w:rPr>
                <w:rFonts w:ascii="Times New Roman" w:eastAsia="Times New Roman" w:hAnsi="Times New Roman" w:cs="Times New Roman"/>
                <w:color w:val="323842"/>
                <w:sz w:val="20"/>
                <w:szCs w:val="20"/>
                <w:lang w:val="ru-RU" w:eastAsia="uk-UA"/>
              </w:rPr>
            </w:pPr>
            <w:r w:rsidRPr="002C4941">
              <w:rPr>
                <w:rFonts w:ascii="Times New Roman" w:eastAsia="Times New Roman" w:hAnsi="Times New Roman" w:cs="Times New Roman"/>
                <w:color w:val="323842"/>
                <w:sz w:val="20"/>
                <w:szCs w:val="20"/>
                <w:lang w:eastAsia="uk-UA"/>
              </w:rPr>
              <w:t xml:space="preserve">Заповнюється </w:t>
            </w:r>
            <w:r w:rsidR="00C775B2" w:rsidRPr="002C4941">
              <w:rPr>
                <w:rFonts w:ascii="Times New Roman" w:eastAsia="Times New Roman" w:hAnsi="Times New Roman" w:cs="Times New Roman"/>
                <w:color w:val="323842"/>
                <w:sz w:val="20"/>
                <w:szCs w:val="20"/>
                <w:lang w:eastAsia="uk-UA"/>
              </w:rPr>
              <w:t>на основі даних субрахунків 2011-2013. У гр. 4 «до 12 місяців» ставимо позначку «х», так як довгострокова заборгованість має строк більше 12 місяців</w:t>
            </w:r>
          </w:p>
        </w:tc>
      </w:tr>
      <w:tr w:rsidR="00C775B2" w:rsidRPr="00E8353A" w14:paraId="174BE4CC" w14:textId="77777777" w:rsidTr="00E8353A">
        <w:trPr>
          <w:trHeight w:val="20"/>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35335025" w14:textId="77777777" w:rsidR="00C775B2" w:rsidRPr="002C4941" w:rsidRDefault="00C775B2"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Поточна дебіторська заборгованість</w:t>
            </w:r>
          </w:p>
        </w:tc>
        <w:tc>
          <w:tcPr>
            <w:tcW w:w="144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0C9674D6" w14:textId="77777777" w:rsidR="00C775B2" w:rsidRPr="002C4941" w:rsidRDefault="00C775B2" w:rsidP="009C0BDD">
            <w:pPr>
              <w:spacing w:after="0" w:line="240" w:lineRule="auto"/>
              <w:jc w:val="center"/>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660-661</w:t>
            </w:r>
          </w:p>
        </w:tc>
        <w:tc>
          <w:tcPr>
            <w:tcW w:w="495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030CDD9C" w14:textId="04A39318" w:rsidR="00C775B2" w:rsidRPr="002C4941" w:rsidRDefault="009C0BDD"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 xml:space="preserve">Заповнюється </w:t>
            </w:r>
            <w:r w:rsidR="00C775B2" w:rsidRPr="002C4941">
              <w:rPr>
                <w:rFonts w:ascii="Times New Roman" w:eastAsia="Times New Roman" w:hAnsi="Times New Roman" w:cs="Times New Roman"/>
                <w:color w:val="323842"/>
                <w:sz w:val="20"/>
                <w:szCs w:val="20"/>
                <w:lang w:eastAsia="uk-UA"/>
              </w:rPr>
              <w:t>на основі даних субрахунків 2110-2117. У гр. 5 «від 12 до 18 місяців» і гр. 6 «від 18 до 36 місяців» ставимо позначки «х», так як поточна заборгованість має строк до 12 місяців</w:t>
            </w:r>
          </w:p>
          <w:p w14:paraId="1F9E4F10" w14:textId="77777777" w:rsidR="00C775B2" w:rsidRPr="002C4941" w:rsidRDefault="00C775B2" w:rsidP="00E8353A">
            <w:pPr>
              <w:spacing w:after="0" w:line="240" w:lineRule="auto"/>
              <w:jc w:val="both"/>
              <w:rPr>
                <w:rFonts w:ascii="Times New Roman" w:eastAsia="Times New Roman" w:hAnsi="Times New Roman" w:cs="Times New Roman"/>
                <w:color w:val="323842"/>
                <w:sz w:val="20"/>
                <w:szCs w:val="20"/>
                <w:lang w:eastAsia="uk-UA"/>
              </w:rPr>
            </w:pPr>
          </w:p>
        </w:tc>
      </w:tr>
      <w:tr w:rsidR="00C775B2" w:rsidRPr="00E8353A" w14:paraId="52C44F85" w14:textId="77777777" w:rsidTr="00E8353A">
        <w:trPr>
          <w:trHeight w:val="20"/>
        </w:trPr>
        <w:tc>
          <w:tcPr>
            <w:tcW w:w="0" w:type="auto"/>
            <w:gridSpan w:val="3"/>
            <w:tcBorders>
              <w:top w:val="outset" w:sz="6" w:space="0" w:color="000000"/>
              <w:left w:val="outset" w:sz="6" w:space="0" w:color="000000"/>
              <w:bottom w:val="outset" w:sz="6" w:space="0" w:color="000000"/>
              <w:right w:val="outset" w:sz="6" w:space="0" w:color="000000"/>
            </w:tcBorders>
            <w:shd w:val="clear" w:color="auto" w:fill="F2DBDB"/>
            <w:tcMar>
              <w:top w:w="0" w:type="dxa"/>
              <w:left w:w="0" w:type="dxa"/>
              <w:bottom w:w="0" w:type="dxa"/>
              <w:right w:w="0" w:type="dxa"/>
            </w:tcMar>
            <w:hideMark/>
          </w:tcPr>
          <w:p w14:paraId="55951144" w14:textId="77777777" w:rsidR="00C775B2" w:rsidRPr="00E8353A" w:rsidRDefault="00C775B2" w:rsidP="00E8353A">
            <w:pPr>
              <w:spacing w:after="0" w:line="240" w:lineRule="auto"/>
              <w:jc w:val="center"/>
              <w:rPr>
                <w:rFonts w:ascii="Times New Roman" w:eastAsia="Times New Roman" w:hAnsi="Times New Roman" w:cs="Times New Roman"/>
                <w:color w:val="323842"/>
                <w:sz w:val="20"/>
                <w:szCs w:val="20"/>
                <w:lang w:eastAsia="uk-UA"/>
              </w:rPr>
            </w:pPr>
            <w:r w:rsidRPr="00E8353A">
              <w:rPr>
                <w:rFonts w:ascii="Times New Roman" w:eastAsia="Times New Roman" w:hAnsi="Times New Roman" w:cs="Times New Roman"/>
                <w:b/>
                <w:bCs/>
                <w:color w:val="323842"/>
                <w:sz w:val="20"/>
                <w:szCs w:val="20"/>
                <w:lang w:eastAsia="uk-UA"/>
              </w:rPr>
              <w:t>Розділ VIII. Грошові кошти та їх еквіваленти розпорядників бюджетних коштів та державних цільових фондів</w:t>
            </w:r>
          </w:p>
        </w:tc>
      </w:tr>
      <w:tr w:rsidR="00C775B2" w:rsidRPr="00E8353A" w14:paraId="2CCBCA42" w14:textId="77777777" w:rsidTr="00E8353A">
        <w:trPr>
          <w:trHeight w:val="20"/>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502B77C8" w14:textId="77777777" w:rsidR="00C775B2" w:rsidRPr="002C4941" w:rsidRDefault="00C775B2"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Грошові кошти та їх еквіваленти розпорядників бюджетних коштів та державних цільових фондів у національній валюті, у тому числі в:</w:t>
            </w:r>
          </w:p>
        </w:tc>
        <w:tc>
          <w:tcPr>
            <w:tcW w:w="144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2E9F2506" w14:textId="77777777" w:rsidR="00C775B2" w:rsidRPr="002C4941" w:rsidRDefault="00C775B2" w:rsidP="00E8353A">
            <w:pPr>
              <w:spacing w:after="0" w:line="240" w:lineRule="auto"/>
              <w:jc w:val="center"/>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670</w:t>
            </w:r>
          </w:p>
        </w:tc>
        <w:tc>
          <w:tcPr>
            <w:tcW w:w="495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2A5C2A34" w14:textId="4FBD3DE2" w:rsidR="00C775B2" w:rsidRPr="002C4941" w:rsidRDefault="009C0BDD"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у</w:t>
            </w:r>
            <w:r w:rsidR="00C775B2" w:rsidRPr="002C4941">
              <w:rPr>
                <w:rFonts w:ascii="Times New Roman" w:eastAsia="Times New Roman" w:hAnsi="Times New Roman" w:cs="Times New Roman"/>
                <w:color w:val="323842"/>
                <w:sz w:val="20"/>
                <w:szCs w:val="20"/>
                <w:lang w:eastAsia="uk-UA"/>
              </w:rPr>
              <w:t>сі кошти в національній валюті за групами субрахунків 2211, 2213, 2215, 2311-2315 – для розпорядників та 2222, 2223, 2225, 2227, 2321-2325 (державні цільові фонди)</w:t>
            </w:r>
          </w:p>
        </w:tc>
      </w:tr>
      <w:tr w:rsidR="00C775B2" w:rsidRPr="00E8353A" w14:paraId="69E093AD" w14:textId="77777777" w:rsidTr="00E8353A">
        <w:trPr>
          <w:trHeight w:val="20"/>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211B16C0" w14:textId="77777777" w:rsidR="00C775B2" w:rsidRPr="002C4941" w:rsidRDefault="00C775B2"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i/>
                <w:iCs/>
                <w:color w:val="323842"/>
                <w:sz w:val="20"/>
                <w:szCs w:val="20"/>
                <w:lang w:eastAsia="uk-UA"/>
              </w:rPr>
              <w:lastRenderedPageBreak/>
              <w:t>касі</w:t>
            </w:r>
          </w:p>
        </w:tc>
        <w:tc>
          <w:tcPr>
            <w:tcW w:w="144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2744963F" w14:textId="77777777" w:rsidR="00C775B2" w:rsidRPr="002C4941" w:rsidRDefault="00C775B2" w:rsidP="00E8353A">
            <w:pPr>
              <w:spacing w:after="0" w:line="240" w:lineRule="auto"/>
              <w:jc w:val="center"/>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671</w:t>
            </w:r>
          </w:p>
        </w:tc>
        <w:tc>
          <w:tcPr>
            <w:tcW w:w="495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0D44C834" w14:textId="4340DF81" w:rsidR="00C775B2" w:rsidRPr="002C4941" w:rsidRDefault="009C0BDD"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 xml:space="preserve">Заповнюється </w:t>
            </w:r>
            <w:r w:rsidR="00C775B2" w:rsidRPr="002C4941">
              <w:rPr>
                <w:rFonts w:ascii="Times New Roman" w:eastAsia="Times New Roman" w:hAnsi="Times New Roman" w:cs="Times New Roman"/>
                <w:color w:val="323842"/>
                <w:sz w:val="20"/>
                <w:szCs w:val="20"/>
                <w:lang w:eastAsia="uk-UA"/>
              </w:rPr>
              <w:t>на основі даних субрахунків 2211 (2221) «Готівка у національній валюті» – розпорядники (державні цільові фонди).</w:t>
            </w:r>
          </w:p>
          <w:p w14:paraId="22C13A26" w14:textId="77777777" w:rsidR="00C775B2" w:rsidRPr="002C4941" w:rsidRDefault="00C775B2"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Також грошові документи в касі: субрахунок 2213 (2223) «Грошові документи в національній валюті» – розпорядники (державні цільові фонди)</w:t>
            </w:r>
          </w:p>
        </w:tc>
      </w:tr>
      <w:tr w:rsidR="00C775B2" w:rsidRPr="00E8353A" w14:paraId="7DB28153" w14:textId="77777777" w:rsidTr="00E8353A">
        <w:trPr>
          <w:trHeight w:val="20"/>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678E45D0" w14:textId="77777777" w:rsidR="00C775B2" w:rsidRPr="002C4941" w:rsidRDefault="00C775B2"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i/>
                <w:iCs/>
                <w:color w:val="323842"/>
                <w:sz w:val="20"/>
                <w:szCs w:val="20"/>
                <w:lang w:eastAsia="uk-UA"/>
              </w:rPr>
              <w:t>казначействі на реєстраційних рахунках</w:t>
            </w:r>
          </w:p>
        </w:tc>
        <w:tc>
          <w:tcPr>
            <w:tcW w:w="144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581920F7" w14:textId="77777777" w:rsidR="00C775B2" w:rsidRPr="002C4941" w:rsidRDefault="00C775B2" w:rsidP="00E8353A">
            <w:pPr>
              <w:spacing w:after="0" w:line="240" w:lineRule="auto"/>
              <w:jc w:val="center"/>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672</w:t>
            </w:r>
          </w:p>
        </w:tc>
        <w:tc>
          <w:tcPr>
            <w:tcW w:w="495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57128CDB" w14:textId="5FC9CDA1" w:rsidR="00C775B2" w:rsidRPr="002C4941" w:rsidRDefault="009C0BDD"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 xml:space="preserve">заповнюється </w:t>
            </w:r>
            <w:r w:rsidR="00C775B2" w:rsidRPr="002C4941">
              <w:rPr>
                <w:rFonts w:ascii="Times New Roman" w:eastAsia="Times New Roman" w:hAnsi="Times New Roman" w:cs="Times New Roman"/>
                <w:color w:val="323842"/>
                <w:sz w:val="20"/>
                <w:szCs w:val="20"/>
                <w:lang w:eastAsia="uk-UA"/>
              </w:rPr>
              <w:t>на основі даних субрахунків 2313 (2323) «Реєстраційні рахунки» – розпорядники (державні цільові фонди)</w:t>
            </w:r>
          </w:p>
        </w:tc>
      </w:tr>
      <w:tr w:rsidR="00C775B2" w:rsidRPr="00E8353A" w14:paraId="18B127FA" w14:textId="77777777" w:rsidTr="00E8353A">
        <w:trPr>
          <w:trHeight w:val="20"/>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44185034" w14:textId="77777777" w:rsidR="00C775B2" w:rsidRPr="002C4941" w:rsidRDefault="00C775B2"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i/>
                <w:iCs/>
                <w:color w:val="323842"/>
                <w:sz w:val="20"/>
                <w:szCs w:val="20"/>
                <w:lang w:eastAsia="uk-UA"/>
              </w:rPr>
              <w:t>казначействі на інших рахунках</w:t>
            </w:r>
          </w:p>
        </w:tc>
        <w:tc>
          <w:tcPr>
            <w:tcW w:w="144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73C9A8E3" w14:textId="77777777" w:rsidR="00C775B2" w:rsidRPr="002C4941" w:rsidRDefault="00C775B2" w:rsidP="00E8353A">
            <w:pPr>
              <w:spacing w:after="0" w:line="240" w:lineRule="auto"/>
              <w:jc w:val="center"/>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673</w:t>
            </w:r>
          </w:p>
        </w:tc>
        <w:tc>
          <w:tcPr>
            <w:tcW w:w="495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1A61100B" w14:textId="386FACB0" w:rsidR="00C775B2" w:rsidRPr="002C4941" w:rsidRDefault="009C0BDD"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 xml:space="preserve">заповнюється </w:t>
            </w:r>
            <w:r w:rsidR="00C775B2" w:rsidRPr="002C4941">
              <w:rPr>
                <w:rFonts w:ascii="Times New Roman" w:eastAsia="Times New Roman" w:hAnsi="Times New Roman" w:cs="Times New Roman"/>
                <w:color w:val="323842"/>
                <w:sz w:val="20"/>
                <w:szCs w:val="20"/>
                <w:lang w:eastAsia="uk-UA"/>
              </w:rPr>
              <w:t>на основі даних субрахунку 2314 (2324) «Інші рахунки в казначействі розпорядники (державні цільові фонди)</w:t>
            </w:r>
          </w:p>
        </w:tc>
      </w:tr>
      <w:tr w:rsidR="00C775B2" w:rsidRPr="00E8353A" w14:paraId="4FB6061A" w14:textId="77777777" w:rsidTr="00E8353A">
        <w:trPr>
          <w:trHeight w:val="20"/>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5F575B37" w14:textId="77777777" w:rsidR="00C775B2" w:rsidRPr="002C4941" w:rsidRDefault="00C775B2"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i/>
                <w:iCs/>
                <w:color w:val="323842"/>
                <w:sz w:val="20"/>
                <w:szCs w:val="20"/>
                <w:lang w:eastAsia="uk-UA"/>
              </w:rPr>
              <w:t>установах банків на поточних та інших рахунках</w:t>
            </w:r>
          </w:p>
        </w:tc>
        <w:tc>
          <w:tcPr>
            <w:tcW w:w="144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35532C11" w14:textId="77777777" w:rsidR="00C775B2" w:rsidRPr="002C4941" w:rsidRDefault="00C775B2" w:rsidP="00E8353A">
            <w:pPr>
              <w:spacing w:after="0" w:line="240" w:lineRule="auto"/>
              <w:jc w:val="center"/>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674</w:t>
            </w:r>
          </w:p>
        </w:tc>
        <w:tc>
          <w:tcPr>
            <w:tcW w:w="495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52CE4EE8" w14:textId="70854B46" w:rsidR="00C775B2" w:rsidRPr="002C4941" w:rsidRDefault="009C0BDD"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 xml:space="preserve">заповнюється </w:t>
            </w:r>
            <w:r w:rsidR="00C775B2" w:rsidRPr="002C4941">
              <w:rPr>
                <w:rFonts w:ascii="Times New Roman" w:eastAsia="Times New Roman" w:hAnsi="Times New Roman" w:cs="Times New Roman"/>
                <w:color w:val="323842"/>
                <w:sz w:val="20"/>
                <w:szCs w:val="20"/>
                <w:lang w:eastAsia="uk-UA"/>
              </w:rPr>
              <w:t>на основі даних субрахунку 2311 (2321) «Поточні рахунки» – розпорядники (державні цільові фонди)</w:t>
            </w:r>
          </w:p>
        </w:tc>
      </w:tr>
      <w:tr w:rsidR="00C775B2" w:rsidRPr="00E8353A" w14:paraId="1B42FD91" w14:textId="77777777" w:rsidTr="00E8353A">
        <w:trPr>
          <w:trHeight w:val="20"/>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1514FBE6" w14:textId="77777777" w:rsidR="00C775B2" w:rsidRPr="002C4941" w:rsidRDefault="00C775B2"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i/>
                <w:iCs/>
                <w:color w:val="323842"/>
                <w:sz w:val="20"/>
                <w:szCs w:val="20"/>
                <w:lang w:eastAsia="uk-UA"/>
              </w:rPr>
              <w:t>установах банків у тимчасовому розпорядженні</w:t>
            </w:r>
          </w:p>
        </w:tc>
        <w:tc>
          <w:tcPr>
            <w:tcW w:w="144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611061F9" w14:textId="77777777" w:rsidR="00C775B2" w:rsidRPr="002C4941" w:rsidRDefault="00C775B2" w:rsidP="00E8353A">
            <w:pPr>
              <w:spacing w:after="0" w:line="240" w:lineRule="auto"/>
              <w:jc w:val="center"/>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675</w:t>
            </w:r>
          </w:p>
        </w:tc>
        <w:tc>
          <w:tcPr>
            <w:tcW w:w="495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4C8B68DE" w14:textId="602CCE23" w:rsidR="00C775B2" w:rsidRPr="002C4941" w:rsidRDefault="009C0BDD"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 xml:space="preserve">заповнюється </w:t>
            </w:r>
            <w:r w:rsidR="00C775B2" w:rsidRPr="002C4941">
              <w:rPr>
                <w:rFonts w:ascii="Times New Roman" w:eastAsia="Times New Roman" w:hAnsi="Times New Roman" w:cs="Times New Roman"/>
                <w:color w:val="323842"/>
                <w:sz w:val="20"/>
                <w:szCs w:val="20"/>
                <w:lang w:eastAsia="uk-UA"/>
              </w:rPr>
              <w:t>на основі даних субрахунків 2315 (2325) «Рахунки для обліку депозитних сум» – розпорядники (державні цільові фонди)</w:t>
            </w:r>
          </w:p>
        </w:tc>
      </w:tr>
      <w:tr w:rsidR="00C775B2" w:rsidRPr="00E8353A" w14:paraId="0C54C346" w14:textId="77777777" w:rsidTr="00E8353A">
        <w:trPr>
          <w:trHeight w:val="20"/>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7406733F" w14:textId="77777777" w:rsidR="00C775B2" w:rsidRPr="002C4941" w:rsidRDefault="00C775B2"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i/>
                <w:iCs/>
                <w:color w:val="323842"/>
                <w:sz w:val="20"/>
                <w:szCs w:val="20"/>
                <w:lang w:eastAsia="uk-UA"/>
              </w:rPr>
              <w:t>дорозі</w:t>
            </w:r>
          </w:p>
        </w:tc>
        <w:tc>
          <w:tcPr>
            <w:tcW w:w="144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36803458" w14:textId="77777777" w:rsidR="00C775B2" w:rsidRPr="002C4941" w:rsidRDefault="00C775B2" w:rsidP="00E8353A">
            <w:pPr>
              <w:spacing w:after="0" w:line="240" w:lineRule="auto"/>
              <w:jc w:val="center"/>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676</w:t>
            </w:r>
          </w:p>
        </w:tc>
        <w:tc>
          <w:tcPr>
            <w:tcW w:w="495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6F64E291" w14:textId="69FE69F4" w:rsidR="00C775B2" w:rsidRPr="002C4941" w:rsidRDefault="009C0BDD"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 xml:space="preserve">заповнюється </w:t>
            </w:r>
            <w:r w:rsidR="00C775B2" w:rsidRPr="002C4941">
              <w:rPr>
                <w:rFonts w:ascii="Times New Roman" w:eastAsia="Times New Roman" w:hAnsi="Times New Roman" w:cs="Times New Roman"/>
                <w:color w:val="323842"/>
                <w:sz w:val="20"/>
                <w:szCs w:val="20"/>
                <w:lang w:eastAsia="uk-UA"/>
              </w:rPr>
              <w:t>на основі даних субрахунку 2215 (2226) «Грошові документи в дорозі в іноземній валюті»</w:t>
            </w:r>
          </w:p>
        </w:tc>
      </w:tr>
      <w:tr w:rsidR="00C775B2" w:rsidRPr="00E8353A" w14:paraId="6236EDAC" w14:textId="77777777" w:rsidTr="00E8353A">
        <w:trPr>
          <w:trHeight w:val="20"/>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2AD40BCE" w14:textId="77777777" w:rsidR="00C775B2" w:rsidRPr="002C4941" w:rsidRDefault="00C775B2"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Грошові кошти та їх еквіваленти розпорядників бюджетних коштів та державних цільових фондів у іноземній валюті, у тому числі:</w:t>
            </w:r>
          </w:p>
        </w:tc>
        <w:tc>
          <w:tcPr>
            <w:tcW w:w="144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23D59A3B" w14:textId="77777777" w:rsidR="00C775B2" w:rsidRPr="002C4941" w:rsidRDefault="00C775B2" w:rsidP="00E8353A">
            <w:pPr>
              <w:spacing w:after="0" w:line="240" w:lineRule="auto"/>
              <w:jc w:val="center"/>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680</w:t>
            </w:r>
          </w:p>
        </w:tc>
        <w:tc>
          <w:tcPr>
            <w:tcW w:w="495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548A8C58" w14:textId="70509D59" w:rsidR="00C775B2" w:rsidRPr="002C4941" w:rsidRDefault="009C0BDD"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у</w:t>
            </w:r>
            <w:r w:rsidR="00C775B2" w:rsidRPr="002C4941">
              <w:rPr>
                <w:rFonts w:ascii="Times New Roman" w:eastAsia="Times New Roman" w:hAnsi="Times New Roman" w:cs="Times New Roman"/>
                <w:color w:val="323842"/>
                <w:sz w:val="20"/>
                <w:szCs w:val="20"/>
                <w:lang w:eastAsia="uk-UA"/>
              </w:rPr>
              <w:t>сі кошти в іноземній валюті за групами рахунків 221, 231 (розпорядники) та 222, 232 (державні цільові фонди)</w:t>
            </w:r>
          </w:p>
        </w:tc>
      </w:tr>
      <w:tr w:rsidR="00C775B2" w:rsidRPr="00E8353A" w14:paraId="26FA4B2F" w14:textId="77777777" w:rsidTr="00E8353A">
        <w:trPr>
          <w:trHeight w:val="20"/>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7048DA4A" w14:textId="77777777" w:rsidR="00C775B2" w:rsidRPr="002C4941" w:rsidRDefault="00C775B2"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i/>
                <w:iCs/>
                <w:color w:val="323842"/>
                <w:sz w:val="20"/>
                <w:szCs w:val="20"/>
                <w:lang w:eastAsia="uk-UA"/>
              </w:rPr>
              <w:t>на поточних рахунках</w:t>
            </w:r>
          </w:p>
        </w:tc>
        <w:tc>
          <w:tcPr>
            <w:tcW w:w="144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35EB3DEC" w14:textId="77777777" w:rsidR="00C775B2" w:rsidRPr="002C4941" w:rsidRDefault="00C775B2" w:rsidP="00E8353A">
            <w:pPr>
              <w:spacing w:after="0" w:line="240" w:lineRule="auto"/>
              <w:jc w:val="center"/>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681</w:t>
            </w:r>
          </w:p>
        </w:tc>
        <w:tc>
          <w:tcPr>
            <w:tcW w:w="495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1CB35616" w14:textId="408DFFED" w:rsidR="00C775B2" w:rsidRPr="002C4941" w:rsidRDefault="009C0BDD"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 xml:space="preserve">Заповнюється </w:t>
            </w:r>
            <w:r w:rsidR="00C775B2" w:rsidRPr="002C4941">
              <w:rPr>
                <w:rFonts w:ascii="Times New Roman" w:eastAsia="Times New Roman" w:hAnsi="Times New Roman" w:cs="Times New Roman"/>
                <w:color w:val="323842"/>
                <w:sz w:val="20"/>
                <w:szCs w:val="20"/>
                <w:lang w:eastAsia="uk-UA"/>
              </w:rPr>
              <w:t>на основі даних субрахунків 2311-2315 (2321-2325) у частині коштів в іноземній валюті – для розпорядників (державних цільових фондів)</w:t>
            </w:r>
          </w:p>
        </w:tc>
      </w:tr>
      <w:tr w:rsidR="00C775B2" w:rsidRPr="00E8353A" w14:paraId="0955BA32" w14:textId="77777777" w:rsidTr="00E8353A">
        <w:trPr>
          <w:trHeight w:val="20"/>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6B22FE99" w14:textId="77777777" w:rsidR="00C775B2" w:rsidRPr="002C4941" w:rsidRDefault="00C775B2"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i/>
                <w:iCs/>
                <w:color w:val="323842"/>
                <w:sz w:val="20"/>
                <w:szCs w:val="20"/>
                <w:lang w:eastAsia="uk-UA"/>
              </w:rPr>
              <w:t>інші кошти в іноземній валюті</w:t>
            </w:r>
          </w:p>
        </w:tc>
        <w:tc>
          <w:tcPr>
            <w:tcW w:w="144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388E1A16" w14:textId="77777777" w:rsidR="00C775B2" w:rsidRPr="002C4941" w:rsidRDefault="00C775B2" w:rsidP="00E8353A">
            <w:pPr>
              <w:spacing w:after="0" w:line="240" w:lineRule="auto"/>
              <w:jc w:val="center"/>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682</w:t>
            </w:r>
          </w:p>
        </w:tc>
        <w:tc>
          <w:tcPr>
            <w:tcW w:w="495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3E8B840D" w14:textId="5B570C8D" w:rsidR="00C775B2" w:rsidRPr="002C4941" w:rsidRDefault="009C0BDD"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Заповнюється</w:t>
            </w:r>
            <w:r w:rsidR="00C775B2" w:rsidRPr="002C4941">
              <w:rPr>
                <w:rFonts w:ascii="Times New Roman" w:eastAsia="Times New Roman" w:hAnsi="Times New Roman" w:cs="Times New Roman"/>
                <w:color w:val="323842"/>
                <w:sz w:val="20"/>
                <w:szCs w:val="20"/>
                <w:lang w:eastAsia="uk-UA"/>
              </w:rPr>
              <w:t xml:space="preserve"> на основі даних субрахунків 2212 (2222) «Готівка в іноземній валюті», 2214 (2224) «Грошові документи в іноземній валюті», 2216 (2226) «Грошові кошти в дорозі в іноземній валюті» – розпорядники (державні цільові фонди). Також субрахунок 2227 «Інші еквіваленти грошових кошті» – для державних цільових фондів</w:t>
            </w:r>
          </w:p>
        </w:tc>
      </w:tr>
      <w:tr w:rsidR="00C775B2" w:rsidRPr="00E8353A" w14:paraId="2E94092E" w14:textId="77777777" w:rsidTr="00E8353A">
        <w:trPr>
          <w:trHeight w:val="20"/>
        </w:trPr>
        <w:tc>
          <w:tcPr>
            <w:tcW w:w="0" w:type="auto"/>
            <w:gridSpan w:val="3"/>
            <w:tcBorders>
              <w:top w:val="outset" w:sz="6" w:space="0" w:color="000000"/>
              <w:left w:val="outset" w:sz="6" w:space="0" w:color="000000"/>
              <w:bottom w:val="outset" w:sz="6" w:space="0" w:color="000000"/>
              <w:right w:val="outset" w:sz="6" w:space="0" w:color="000000"/>
            </w:tcBorders>
            <w:shd w:val="clear" w:color="auto" w:fill="F2DBDB"/>
            <w:tcMar>
              <w:top w:w="0" w:type="dxa"/>
              <w:left w:w="0" w:type="dxa"/>
              <w:bottom w:w="0" w:type="dxa"/>
              <w:right w:w="0" w:type="dxa"/>
            </w:tcMar>
            <w:hideMark/>
          </w:tcPr>
          <w:p w14:paraId="38D4D0FA" w14:textId="77777777" w:rsidR="00C775B2" w:rsidRPr="00E8353A" w:rsidRDefault="00C775B2" w:rsidP="00112484">
            <w:pPr>
              <w:spacing w:after="0" w:line="240" w:lineRule="auto"/>
              <w:jc w:val="center"/>
              <w:rPr>
                <w:rFonts w:ascii="Times New Roman" w:eastAsia="Times New Roman" w:hAnsi="Times New Roman" w:cs="Times New Roman"/>
                <w:color w:val="323842"/>
                <w:sz w:val="20"/>
                <w:szCs w:val="20"/>
                <w:lang w:eastAsia="uk-UA"/>
              </w:rPr>
            </w:pPr>
            <w:r w:rsidRPr="00E8353A">
              <w:rPr>
                <w:rFonts w:ascii="Times New Roman" w:eastAsia="Times New Roman" w:hAnsi="Times New Roman" w:cs="Times New Roman"/>
                <w:b/>
                <w:bCs/>
                <w:color w:val="323842"/>
                <w:sz w:val="20"/>
                <w:szCs w:val="20"/>
                <w:lang w:eastAsia="uk-UA"/>
              </w:rPr>
              <w:t>Розділ IX. Доходи та витрати</w:t>
            </w:r>
          </w:p>
          <w:p w14:paraId="5761E53B" w14:textId="77777777" w:rsidR="00C775B2" w:rsidRPr="00E8353A" w:rsidRDefault="00C775B2" w:rsidP="00E8353A">
            <w:pPr>
              <w:spacing w:after="0" w:line="240" w:lineRule="auto"/>
              <w:jc w:val="both"/>
              <w:rPr>
                <w:rFonts w:ascii="Times New Roman" w:eastAsia="Times New Roman" w:hAnsi="Times New Roman" w:cs="Times New Roman"/>
                <w:color w:val="323842"/>
                <w:sz w:val="20"/>
                <w:szCs w:val="20"/>
                <w:lang w:eastAsia="uk-UA"/>
              </w:rPr>
            </w:pPr>
            <w:r w:rsidRPr="00E8353A">
              <w:rPr>
                <w:rFonts w:ascii="Times New Roman" w:eastAsia="Times New Roman" w:hAnsi="Times New Roman" w:cs="Times New Roman"/>
                <w:color w:val="323842"/>
                <w:sz w:val="20"/>
                <w:szCs w:val="20"/>
                <w:lang w:eastAsia="uk-UA"/>
              </w:rPr>
              <w:t>Зверніть увагу:</w:t>
            </w:r>
          </w:p>
          <w:p w14:paraId="61A3DD2D" w14:textId="77777777" w:rsidR="00C775B2" w:rsidRPr="00E8353A" w:rsidRDefault="00C775B2" w:rsidP="00E8353A">
            <w:pPr>
              <w:numPr>
                <w:ilvl w:val="0"/>
                <w:numId w:val="8"/>
              </w:numPr>
              <w:spacing w:after="0" w:line="240" w:lineRule="auto"/>
              <w:jc w:val="both"/>
              <w:rPr>
                <w:rFonts w:ascii="Times New Roman" w:eastAsia="Times New Roman" w:hAnsi="Times New Roman" w:cs="Times New Roman"/>
                <w:color w:val="323842"/>
                <w:sz w:val="20"/>
                <w:szCs w:val="20"/>
                <w:lang w:eastAsia="uk-UA"/>
              </w:rPr>
            </w:pPr>
            <w:r w:rsidRPr="00E8353A">
              <w:rPr>
                <w:rFonts w:ascii="Times New Roman" w:eastAsia="Times New Roman" w:hAnsi="Times New Roman" w:cs="Times New Roman"/>
                <w:color w:val="323842"/>
                <w:sz w:val="20"/>
                <w:szCs w:val="20"/>
                <w:lang w:eastAsia="uk-UA"/>
              </w:rPr>
              <w:t>заповнення наведено на прикладі розпорядників, для держаних цільових фондів – аналогічні рахунки;</w:t>
            </w:r>
          </w:p>
          <w:p w14:paraId="6668F1E5" w14:textId="77777777" w:rsidR="00C775B2" w:rsidRPr="00E8353A" w:rsidRDefault="00C775B2" w:rsidP="00E8353A">
            <w:pPr>
              <w:numPr>
                <w:ilvl w:val="0"/>
                <w:numId w:val="8"/>
              </w:numPr>
              <w:spacing w:after="0" w:line="240" w:lineRule="auto"/>
              <w:jc w:val="both"/>
              <w:rPr>
                <w:rFonts w:ascii="Times New Roman" w:eastAsia="Times New Roman" w:hAnsi="Times New Roman" w:cs="Times New Roman"/>
                <w:color w:val="323842"/>
                <w:sz w:val="20"/>
                <w:szCs w:val="20"/>
                <w:lang w:eastAsia="uk-UA"/>
              </w:rPr>
            </w:pPr>
            <w:r w:rsidRPr="00E8353A">
              <w:rPr>
                <w:rFonts w:ascii="Times New Roman" w:eastAsia="Times New Roman" w:hAnsi="Times New Roman" w:cs="Times New Roman"/>
                <w:color w:val="323842"/>
                <w:sz w:val="20"/>
                <w:szCs w:val="20"/>
                <w:lang w:eastAsia="uk-UA"/>
              </w:rPr>
              <w:t>будьте уважні, аби не порахувати тут деякі суми двічі! «у тому числі» – рядок є сумою серії рядків, «з них» – наступні рядки лише наводять додаткову інформацію з загальної цифри й не обов’язково є її сумою;</w:t>
            </w:r>
          </w:p>
          <w:p w14:paraId="6314C345" w14:textId="09F275FF" w:rsidR="00C775B2" w:rsidRPr="00E8353A" w:rsidRDefault="00C775B2" w:rsidP="00E8353A">
            <w:pPr>
              <w:numPr>
                <w:ilvl w:val="0"/>
                <w:numId w:val="8"/>
              </w:num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у цьому розділі слід відображати тільки ту інформацію, що передбачена розд</w:t>
            </w:r>
            <w:r w:rsidR="00126BA9" w:rsidRPr="002C4941">
              <w:rPr>
                <w:rFonts w:ascii="Times New Roman" w:eastAsia="Times New Roman" w:hAnsi="Times New Roman" w:cs="Times New Roman"/>
                <w:color w:val="323842"/>
                <w:sz w:val="20"/>
                <w:szCs w:val="20"/>
                <w:lang w:eastAsia="uk-UA"/>
              </w:rPr>
              <w:t>ілом</w:t>
            </w:r>
            <w:r w:rsidRPr="002C4941">
              <w:rPr>
                <w:rFonts w:ascii="Times New Roman" w:eastAsia="Times New Roman" w:hAnsi="Times New Roman" w:cs="Times New Roman"/>
                <w:color w:val="323842"/>
                <w:sz w:val="20"/>
                <w:szCs w:val="20"/>
                <w:lang w:eastAsia="uk-UA"/>
              </w:rPr>
              <w:t xml:space="preserve"> IV «Розкриття інформації про доходи від обмінних та необмінних операцій» НП(С)БОДС 124 «Доходи» та розд</w:t>
            </w:r>
            <w:r w:rsidR="00126BA9" w:rsidRPr="002C4941">
              <w:rPr>
                <w:rFonts w:ascii="Times New Roman" w:eastAsia="Times New Roman" w:hAnsi="Times New Roman" w:cs="Times New Roman"/>
                <w:color w:val="323842"/>
                <w:sz w:val="20"/>
                <w:szCs w:val="20"/>
                <w:lang w:eastAsia="uk-UA"/>
              </w:rPr>
              <w:t>ілом</w:t>
            </w:r>
            <w:r w:rsidRPr="002C4941">
              <w:rPr>
                <w:rFonts w:ascii="Times New Roman" w:eastAsia="Times New Roman" w:hAnsi="Times New Roman" w:cs="Times New Roman"/>
                <w:color w:val="323842"/>
                <w:sz w:val="20"/>
                <w:szCs w:val="20"/>
                <w:lang w:eastAsia="uk-UA"/>
              </w:rPr>
              <w:t xml:space="preserve"> V «Розкриття інформації про витрати у примітках до фінансової звітності» </w:t>
            </w:r>
            <w:hyperlink r:id="rId21" w:anchor="Text" w:tgtFrame="_blank" w:history="1">
              <w:r w:rsidRPr="002C4941">
                <w:rPr>
                  <w:rFonts w:ascii="Times New Roman" w:eastAsia="Times New Roman" w:hAnsi="Times New Roman" w:cs="Times New Roman"/>
                  <w:color w:val="0000FF"/>
                  <w:sz w:val="20"/>
                  <w:szCs w:val="20"/>
                  <w:u w:val="single"/>
                  <w:lang w:eastAsia="uk-UA"/>
                </w:rPr>
                <w:t>НП(С)БОДС 135 «Витрати»</w:t>
              </w:r>
            </w:hyperlink>
            <w:r w:rsidRPr="00E8353A">
              <w:rPr>
                <w:rFonts w:ascii="Times New Roman" w:eastAsia="Times New Roman" w:hAnsi="Times New Roman" w:cs="Times New Roman"/>
                <w:color w:val="323842"/>
                <w:sz w:val="20"/>
                <w:szCs w:val="20"/>
                <w:lang w:eastAsia="uk-UA"/>
              </w:rPr>
              <w:t xml:space="preserve"> (Роз’яснення ДКСУ*)</w:t>
            </w:r>
          </w:p>
        </w:tc>
      </w:tr>
      <w:tr w:rsidR="00C775B2" w:rsidRPr="002C4941" w14:paraId="580B76D6" w14:textId="77777777" w:rsidTr="00E8353A">
        <w:trPr>
          <w:trHeight w:val="20"/>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0030FEC2" w14:textId="77777777" w:rsidR="00C775B2" w:rsidRPr="002C4941" w:rsidRDefault="00C775B2"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b/>
                <w:bCs/>
                <w:color w:val="323842"/>
                <w:sz w:val="20"/>
                <w:szCs w:val="20"/>
                <w:lang w:eastAsia="uk-UA"/>
              </w:rPr>
              <w:t>Доходи від обмінних і необмінних операцій, визнані протягом звітного періоду, - усього</w:t>
            </w:r>
          </w:p>
        </w:tc>
        <w:tc>
          <w:tcPr>
            <w:tcW w:w="144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72AA122B" w14:textId="77777777" w:rsidR="00C775B2" w:rsidRPr="002C4941" w:rsidRDefault="00C775B2" w:rsidP="00E8353A">
            <w:pPr>
              <w:spacing w:after="0" w:line="240" w:lineRule="auto"/>
              <w:jc w:val="center"/>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b/>
                <w:bCs/>
                <w:color w:val="323842"/>
                <w:sz w:val="20"/>
                <w:szCs w:val="20"/>
                <w:lang w:eastAsia="uk-UA"/>
              </w:rPr>
              <w:t>760</w:t>
            </w:r>
          </w:p>
        </w:tc>
        <w:tc>
          <w:tcPr>
            <w:tcW w:w="495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0187F696" w14:textId="465038AF" w:rsidR="00C775B2" w:rsidRPr="002C4941" w:rsidRDefault="009C0BDD" w:rsidP="00E8353A">
            <w:pPr>
              <w:spacing w:after="0" w:line="240" w:lineRule="auto"/>
              <w:jc w:val="center"/>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b/>
                <w:bCs/>
                <w:color w:val="323842"/>
                <w:sz w:val="20"/>
                <w:szCs w:val="20"/>
                <w:lang w:eastAsia="uk-UA"/>
              </w:rPr>
              <w:t>Заповнюється</w:t>
            </w:r>
            <w:r w:rsidR="00C775B2" w:rsidRPr="002C4941">
              <w:rPr>
                <w:rFonts w:ascii="Times New Roman" w:eastAsia="Times New Roman" w:hAnsi="Times New Roman" w:cs="Times New Roman"/>
                <w:b/>
                <w:bCs/>
                <w:color w:val="323842"/>
                <w:sz w:val="20"/>
                <w:szCs w:val="20"/>
                <w:lang w:eastAsia="uk-UA"/>
              </w:rPr>
              <w:t xml:space="preserve"> як сум</w:t>
            </w:r>
            <w:r w:rsidRPr="002C4941">
              <w:rPr>
                <w:rFonts w:ascii="Times New Roman" w:eastAsia="Times New Roman" w:hAnsi="Times New Roman" w:cs="Times New Roman"/>
                <w:b/>
                <w:bCs/>
                <w:color w:val="323842"/>
                <w:sz w:val="20"/>
                <w:szCs w:val="20"/>
                <w:lang w:eastAsia="uk-UA"/>
              </w:rPr>
              <w:t>а</w:t>
            </w:r>
            <w:r w:rsidR="00C775B2" w:rsidRPr="002C4941">
              <w:rPr>
                <w:rFonts w:ascii="Times New Roman" w:eastAsia="Times New Roman" w:hAnsi="Times New Roman" w:cs="Times New Roman"/>
                <w:b/>
                <w:bCs/>
                <w:color w:val="323842"/>
                <w:sz w:val="20"/>
                <w:szCs w:val="20"/>
                <w:lang w:eastAsia="uk-UA"/>
              </w:rPr>
              <w:t xml:space="preserve"> рядків 770-850, 860-910</w:t>
            </w:r>
          </w:p>
        </w:tc>
      </w:tr>
      <w:tr w:rsidR="00C775B2" w:rsidRPr="002C4941" w14:paraId="7CFA6761" w14:textId="77777777" w:rsidTr="00E8353A">
        <w:trPr>
          <w:trHeight w:val="20"/>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4ADADF3C" w14:textId="77777777" w:rsidR="00C775B2" w:rsidRPr="002C4941" w:rsidRDefault="00C775B2"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 xml:space="preserve">у </w:t>
            </w:r>
            <w:r w:rsidRPr="002C4941">
              <w:rPr>
                <w:rFonts w:ascii="Times New Roman" w:eastAsia="Times New Roman" w:hAnsi="Times New Roman" w:cs="Times New Roman"/>
                <w:b/>
                <w:bCs/>
                <w:color w:val="323842"/>
                <w:sz w:val="20"/>
                <w:szCs w:val="20"/>
                <w:lang w:eastAsia="uk-UA"/>
              </w:rPr>
              <w:t>тому числі</w:t>
            </w:r>
            <w:r w:rsidRPr="002C4941">
              <w:rPr>
                <w:rFonts w:ascii="Times New Roman" w:eastAsia="Times New Roman" w:hAnsi="Times New Roman" w:cs="Times New Roman"/>
                <w:color w:val="323842"/>
                <w:sz w:val="20"/>
                <w:szCs w:val="20"/>
                <w:lang w:eastAsia="uk-UA"/>
              </w:rPr>
              <w:t>:</w:t>
            </w:r>
          </w:p>
        </w:tc>
        <w:tc>
          <w:tcPr>
            <w:tcW w:w="144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49B2F0E4" w14:textId="77777777" w:rsidR="00C775B2" w:rsidRPr="002C4941" w:rsidRDefault="00C775B2" w:rsidP="00E8353A">
            <w:pPr>
              <w:spacing w:after="0" w:line="240" w:lineRule="auto"/>
              <w:jc w:val="center"/>
              <w:rPr>
                <w:rFonts w:ascii="Times New Roman" w:eastAsia="Times New Roman" w:hAnsi="Times New Roman" w:cs="Times New Roman"/>
                <w:color w:val="323842"/>
                <w:sz w:val="20"/>
                <w:szCs w:val="20"/>
                <w:lang w:eastAsia="uk-UA"/>
              </w:rPr>
            </w:pPr>
          </w:p>
        </w:tc>
        <w:tc>
          <w:tcPr>
            <w:tcW w:w="495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70D02A79" w14:textId="77777777" w:rsidR="00C775B2" w:rsidRPr="002C4941" w:rsidRDefault="00C775B2" w:rsidP="00E8353A">
            <w:pPr>
              <w:spacing w:after="0" w:line="240" w:lineRule="auto"/>
              <w:jc w:val="both"/>
              <w:rPr>
                <w:rFonts w:ascii="Times New Roman" w:eastAsia="Times New Roman" w:hAnsi="Times New Roman" w:cs="Times New Roman"/>
                <w:color w:val="323842"/>
                <w:sz w:val="20"/>
                <w:szCs w:val="20"/>
                <w:lang w:eastAsia="uk-UA"/>
              </w:rPr>
            </w:pPr>
          </w:p>
        </w:tc>
      </w:tr>
      <w:tr w:rsidR="00C775B2" w:rsidRPr="002C4941" w14:paraId="6A8FCA55" w14:textId="77777777" w:rsidTr="00E8353A">
        <w:trPr>
          <w:trHeight w:val="20"/>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2D5CE528" w14:textId="77777777" w:rsidR="00C775B2" w:rsidRPr="002C4941" w:rsidRDefault="00C775B2"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i/>
                <w:iCs/>
                <w:color w:val="323842"/>
                <w:sz w:val="20"/>
                <w:szCs w:val="20"/>
                <w:lang w:eastAsia="uk-UA"/>
              </w:rPr>
              <w:t>від обмінних операцій:</w:t>
            </w:r>
          </w:p>
        </w:tc>
        <w:tc>
          <w:tcPr>
            <w:tcW w:w="144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5FCFFF2E" w14:textId="77777777" w:rsidR="00C775B2" w:rsidRPr="002C4941" w:rsidRDefault="00C775B2" w:rsidP="00E8353A">
            <w:pPr>
              <w:spacing w:after="0" w:line="240" w:lineRule="auto"/>
              <w:jc w:val="center"/>
              <w:rPr>
                <w:rFonts w:ascii="Times New Roman" w:eastAsia="Times New Roman" w:hAnsi="Times New Roman" w:cs="Times New Roman"/>
                <w:color w:val="323842"/>
                <w:sz w:val="20"/>
                <w:szCs w:val="20"/>
                <w:lang w:eastAsia="uk-UA"/>
              </w:rPr>
            </w:pPr>
          </w:p>
        </w:tc>
        <w:tc>
          <w:tcPr>
            <w:tcW w:w="495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497D64C6" w14:textId="77777777" w:rsidR="00C775B2" w:rsidRPr="002C4941" w:rsidRDefault="00C775B2" w:rsidP="00E8353A">
            <w:pPr>
              <w:spacing w:after="0" w:line="240" w:lineRule="auto"/>
              <w:jc w:val="both"/>
              <w:rPr>
                <w:rFonts w:ascii="Times New Roman" w:eastAsia="Times New Roman" w:hAnsi="Times New Roman" w:cs="Times New Roman"/>
                <w:color w:val="323842"/>
                <w:sz w:val="20"/>
                <w:szCs w:val="20"/>
                <w:lang w:eastAsia="uk-UA"/>
              </w:rPr>
            </w:pPr>
          </w:p>
        </w:tc>
      </w:tr>
      <w:tr w:rsidR="00C775B2" w:rsidRPr="002C4941" w14:paraId="3E160D84" w14:textId="77777777" w:rsidTr="00E8353A">
        <w:trPr>
          <w:trHeight w:val="20"/>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295206E2" w14:textId="77777777" w:rsidR="00C775B2" w:rsidRPr="002C4941" w:rsidRDefault="00C775B2"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i/>
                <w:iCs/>
                <w:color w:val="323842"/>
                <w:sz w:val="20"/>
                <w:szCs w:val="20"/>
                <w:lang w:eastAsia="uk-UA"/>
              </w:rPr>
              <w:t>бюджетні асигнування</w:t>
            </w:r>
          </w:p>
        </w:tc>
        <w:tc>
          <w:tcPr>
            <w:tcW w:w="144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4ADEC413" w14:textId="77777777" w:rsidR="00C775B2" w:rsidRPr="002C4941" w:rsidRDefault="00C775B2" w:rsidP="00E8353A">
            <w:pPr>
              <w:spacing w:after="0" w:line="240" w:lineRule="auto"/>
              <w:jc w:val="center"/>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770</w:t>
            </w:r>
          </w:p>
        </w:tc>
        <w:tc>
          <w:tcPr>
            <w:tcW w:w="495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5F14DAAD" w14:textId="57AB552F" w:rsidR="00C775B2" w:rsidRPr="002C4941" w:rsidRDefault="008C7C94"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з</w:t>
            </w:r>
            <w:r w:rsidR="00C775B2" w:rsidRPr="002C4941">
              <w:rPr>
                <w:rFonts w:ascii="Times New Roman" w:eastAsia="Times New Roman" w:hAnsi="Times New Roman" w:cs="Times New Roman"/>
                <w:color w:val="323842"/>
                <w:sz w:val="20"/>
                <w:szCs w:val="20"/>
                <w:lang w:eastAsia="uk-UA"/>
              </w:rPr>
              <w:t>аповню</w:t>
            </w:r>
            <w:r w:rsidRPr="002C4941">
              <w:rPr>
                <w:rFonts w:ascii="Times New Roman" w:eastAsia="Times New Roman" w:hAnsi="Times New Roman" w:cs="Times New Roman"/>
                <w:color w:val="323842"/>
                <w:sz w:val="20"/>
                <w:szCs w:val="20"/>
                <w:lang w:eastAsia="uk-UA"/>
              </w:rPr>
              <w:t>ється</w:t>
            </w:r>
            <w:r w:rsidR="00C775B2" w:rsidRPr="002C4941">
              <w:rPr>
                <w:rFonts w:ascii="Times New Roman" w:eastAsia="Times New Roman" w:hAnsi="Times New Roman" w:cs="Times New Roman"/>
                <w:color w:val="323842"/>
                <w:sz w:val="20"/>
                <w:szCs w:val="20"/>
                <w:lang w:eastAsia="uk-UA"/>
              </w:rPr>
              <w:t xml:space="preserve"> на основі даних субрахунку 7011 «Бюджетні асигнування»</w:t>
            </w:r>
          </w:p>
        </w:tc>
      </w:tr>
      <w:tr w:rsidR="00C775B2" w:rsidRPr="002C4941" w14:paraId="47FFE6D6" w14:textId="77777777" w:rsidTr="00E8353A">
        <w:trPr>
          <w:trHeight w:val="20"/>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6F1165A7" w14:textId="77777777" w:rsidR="00C775B2" w:rsidRPr="002C4941" w:rsidRDefault="00C775B2"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i/>
                <w:iCs/>
                <w:color w:val="323842"/>
                <w:sz w:val="20"/>
                <w:szCs w:val="20"/>
                <w:lang w:eastAsia="uk-UA"/>
              </w:rPr>
              <w:t>надання послуг</w:t>
            </w:r>
          </w:p>
        </w:tc>
        <w:tc>
          <w:tcPr>
            <w:tcW w:w="144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0975BCAB" w14:textId="77777777" w:rsidR="00C775B2" w:rsidRPr="002C4941" w:rsidRDefault="00C775B2" w:rsidP="00E8353A">
            <w:pPr>
              <w:spacing w:after="0" w:line="240" w:lineRule="auto"/>
              <w:jc w:val="center"/>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780</w:t>
            </w:r>
          </w:p>
        </w:tc>
        <w:tc>
          <w:tcPr>
            <w:tcW w:w="495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04D3AF7C" w14:textId="309B7A30" w:rsidR="00C775B2" w:rsidRPr="002C4941" w:rsidRDefault="009C0BDD"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заповнюється</w:t>
            </w:r>
            <w:r w:rsidR="008C7C94" w:rsidRPr="002C4941">
              <w:rPr>
                <w:rFonts w:ascii="Times New Roman" w:eastAsia="Times New Roman" w:hAnsi="Times New Roman" w:cs="Times New Roman"/>
                <w:color w:val="323842"/>
                <w:sz w:val="20"/>
                <w:szCs w:val="20"/>
                <w:lang w:eastAsia="uk-UA"/>
              </w:rPr>
              <w:t xml:space="preserve"> </w:t>
            </w:r>
            <w:r w:rsidR="00C775B2" w:rsidRPr="002C4941">
              <w:rPr>
                <w:rFonts w:ascii="Times New Roman" w:eastAsia="Times New Roman" w:hAnsi="Times New Roman" w:cs="Times New Roman"/>
                <w:color w:val="323842"/>
                <w:sz w:val="20"/>
                <w:szCs w:val="20"/>
                <w:lang w:eastAsia="uk-UA"/>
              </w:rPr>
              <w:t>на основі даних субрахунку 7111 «Доходи від реалізації продукції (робіт, послуг)»</w:t>
            </w:r>
          </w:p>
        </w:tc>
      </w:tr>
      <w:tr w:rsidR="00C775B2" w:rsidRPr="002C4941" w14:paraId="062879D2" w14:textId="77777777" w:rsidTr="00E8353A">
        <w:trPr>
          <w:trHeight w:val="20"/>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3F4781D3" w14:textId="77777777" w:rsidR="00C775B2" w:rsidRPr="002C4941" w:rsidRDefault="00C775B2"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i/>
                <w:iCs/>
                <w:color w:val="323842"/>
                <w:sz w:val="20"/>
                <w:szCs w:val="20"/>
                <w:lang w:eastAsia="uk-UA"/>
              </w:rPr>
              <w:t>продаж</w:t>
            </w:r>
          </w:p>
        </w:tc>
        <w:tc>
          <w:tcPr>
            <w:tcW w:w="144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354C4C93" w14:textId="77777777" w:rsidR="00C775B2" w:rsidRPr="002C4941" w:rsidRDefault="00C775B2" w:rsidP="00E8353A">
            <w:pPr>
              <w:spacing w:after="0" w:line="240" w:lineRule="auto"/>
              <w:jc w:val="center"/>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790</w:t>
            </w:r>
          </w:p>
        </w:tc>
        <w:tc>
          <w:tcPr>
            <w:tcW w:w="495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4B2283D6" w14:textId="7F6799B0" w:rsidR="00C775B2" w:rsidRPr="002C4941" w:rsidRDefault="009C0BDD"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заповнюється</w:t>
            </w:r>
            <w:r w:rsidR="008C7C94" w:rsidRPr="002C4941">
              <w:rPr>
                <w:rFonts w:ascii="Times New Roman" w:eastAsia="Times New Roman" w:hAnsi="Times New Roman" w:cs="Times New Roman"/>
                <w:color w:val="323842"/>
                <w:sz w:val="20"/>
                <w:szCs w:val="20"/>
                <w:lang w:eastAsia="uk-UA"/>
              </w:rPr>
              <w:t xml:space="preserve"> </w:t>
            </w:r>
            <w:r w:rsidR="00C775B2" w:rsidRPr="002C4941">
              <w:rPr>
                <w:rFonts w:ascii="Times New Roman" w:eastAsia="Times New Roman" w:hAnsi="Times New Roman" w:cs="Times New Roman"/>
                <w:color w:val="323842"/>
                <w:sz w:val="20"/>
                <w:szCs w:val="20"/>
                <w:lang w:eastAsia="uk-UA"/>
              </w:rPr>
              <w:t>на основі даних субрахунку 7211 «Дохід від реалізації активів»</w:t>
            </w:r>
          </w:p>
        </w:tc>
      </w:tr>
      <w:tr w:rsidR="00C775B2" w:rsidRPr="002C4941" w14:paraId="018E6F2D" w14:textId="77777777" w:rsidTr="00E8353A">
        <w:trPr>
          <w:trHeight w:val="20"/>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59D60EEE" w14:textId="77777777" w:rsidR="00C775B2" w:rsidRPr="002C4941" w:rsidRDefault="00C775B2"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i/>
                <w:iCs/>
                <w:color w:val="323842"/>
                <w:sz w:val="20"/>
                <w:szCs w:val="20"/>
                <w:lang w:eastAsia="uk-UA"/>
              </w:rPr>
              <w:t>операції з капіталом</w:t>
            </w:r>
          </w:p>
        </w:tc>
        <w:tc>
          <w:tcPr>
            <w:tcW w:w="144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0407AFA9" w14:textId="77777777" w:rsidR="00C775B2" w:rsidRPr="002C4941" w:rsidRDefault="00C775B2" w:rsidP="00E8353A">
            <w:pPr>
              <w:spacing w:after="0" w:line="240" w:lineRule="auto"/>
              <w:jc w:val="center"/>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800</w:t>
            </w:r>
          </w:p>
        </w:tc>
        <w:tc>
          <w:tcPr>
            <w:tcW w:w="495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35EA88CA" w14:textId="59C3C44E" w:rsidR="00C775B2" w:rsidRPr="002C4941" w:rsidRDefault="005B4A7A"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заповнюється</w:t>
            </w:r>
            <w:r w:rsidR="008C7C94" w:rsidRPr="002C4941">
              <w:rPr>
                <w:rFonts w:ascii="Times New Roman" w:eastAsia="Times New Roman" w:hAnsi="Times New Roman" w:cs="Times New Roman"/>
                <w:color w:val="323842"/>
                <w:sz w:val="20"/>
                <w:szCs w:val="20"/>
                <w:lang w:eastAsia="uk-UA"/>
              </w:rPr>
              <w:t xml:space="preserve"> </w:t>
            </w:r>
            <w:r w:rsidR="00C775B2" w:rsidRPr="002C4941">
              <w:rPr>
                <w:rFonts w:ascii="Times New Roman" w:eastAsia="Times New Roman" w:hAnsi="Times New Roman" w:cs="Times New Roman"/>
                <w:color w:val="323842"/>
                <w:sz w:val="20"/>
                <w:szCs w:val="20"/>
                <w:lang w:eastAsia="uk-UA"/>
              </w:rPr>
              <w:t>на основі даних субрахунку 7411 «Інші доходи за обмінними операціями»</w:t>
            </w:r>
          </w:p>
        </w:tc>
      </w:tr>
      <w:tr w:rsidR="00C775B2" w:rsidRPr="002C4941" w14:paraId="4BC26200" w14:textId="77777777" w:rsidTr="00E8353A">
        <w:trPr>
          <w:trHeight w:val="20"/>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504BB0E4" w14:textId="77777777" w:rsidR="00C775B2" w:rsidRPr="002C4941" w:rsidRDefault="00C775B2"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i/>
                <w:iCs/>
                <w:color w:val="323842"/>
                <w:sz w:val="20"/>
                <w:szCs w:val="20"/>
                <w:lang w:eastAsia="uk-UA"/>
              </w:rPr>
              <w:t>продаж нерухомого майна</w:t>
            </w:r>
          </w:p>
        </w:tc>
        <w:tc>
          <w:tcPr>
            <w:tcW w:w="144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02CE06BB" w14:textId="77777777" w:rsidR="00C775B2" w:rsidRPr="002C4941" w:rsidRDefault="00C775B2" w:rsidP="00E8353A">
            <w:pPr>
              <w:spacing w:after="0" w:line="240" w:lineRule="auto"/>
              <w:jc w:val="center"/>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810</w:t>
            </w:r>
          </w:p>
        </w:tc>
        <w:tc>
          <w:tcPr>
            <w:tcW w:w="495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34E4E217" w14:textId="44C8DF60" w:rsidR="00C775B2" w:rsidRPr="002C4941" w:rsidRDefault="009C0BDD"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заповнюється</w:t>
            </w:r>
            <w:r w:rsidR="008C7C94" w:rsidRPr="002C4941">
              <w:rPr>
                <w:rFonts w:ascii="Times New Roman" w:eastAsia="Times New Roman" w:hAnsi="Times New Roman" w:cs="Times New Roman"/>
                <w:color w:val="323842"/>
                <w:sz w:val="20"/>
                <w:szCs w:val="20"/>
                <w:lang w:eastAsia="uk-UA"/>
              </w:rPr>
              <w:t xml:space="preserve"> </w:t>
            </w:r>
            <w:r w:rsidR="00C775B2" w:rsidRPr="002C4941">
              <w:rPr>
                <w:rFonts w:ascii="Times New Roman" w:eastAsia="Times New Roman" w:hAnsi="Times New Roman" w:cs="Times New Roman"/>
                <w:color w:val="323842"/>
                <w:sz w:val="20"/>
                <w:szCs w:val="20"/>
                <w:lang w:eastAsia="uk-UA"/>
              </w:rPr>
              <w:t>на основі даних субрахунку 7411 «Інші доходи за обмінними операціями»</w:t>
            </w:r>
          </w:p>
        </w:tc>
      </w:tr>
      <w:tr w:rsidR="00C775B2" w:rsidRPr="002C4941" w14:paraId="41BCED2E" w14:textId="77777777" w:rsidTr="00E8353A">
        <w:trPr>
          <w:trHeight w:val="20"/>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7B367C14" w14:textId="77777777" w:rsidR="00C775B2" w:rsidRPr="002C4941" w:rsidRDefault="00C775B2"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i/>
                <w:iCs/>
                <w:color w:val="323842"/>
                <w:sz w:val="20"/>
                <w:szCs w:val="20"/>
                <w:lang w:eastAsia="uk-UA"/>
              </w:rPr>
              <w:lastRenderedPageBreak/>
              <w:t>відсотки</w:t>
            </w:r>
          </w:p>
        </w:tc>
        <w:tc>
          <w:tcPr>
            <w:tcW w:w="144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7443028C" w14:textId="77777777" w:rsidR="00C775B2" w:rsidRPr="002C4941" w:rsidRDefault="00C775B2" w:rsidP="00E8353A">
            <w:pPr>
              <w:spacing w:after="0" w:line="240" w:lineRule="auto"/>
              <w:jc w:val="center"/>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820</w:t>
            </w:r>
          </w:p>
        </w:tc>
        <w:tc>
          <w:tcPr>
            <w:tcW w:w="495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49C5BBA8" w14:textId="6EA9DE47" w:rsidR="00C775B2" w:rsidRPr="002C4941" w:rsidRDefault="005B4A7A"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заповнюється</w:t>
            </w:r>
            <w:r w:rsidR="008C7C94" w:rsidRPr="002C4941">
              <w:rPr>
                <w:rFonts w:ascii="Times New Roman" w:eastAsia="Times New Roman" w:hAnsi="Times New Roman" w:cs="Times New Roman"/>
                <w:color w:val="323842"/>
                <w:sz w:val="20"/>
                <w:szCs w:val="20"/>
                <w:lang w:eastAsia="uk-UA"/>
              </w:rPr>
              <w:t xml:space="preserve"> </w:t>
            </w:r>
            <w:r w:rsidR="00C775B2" w:rsidRPr="002C4941">
              <w:rPr>
                <w:rFonts w:ascii="Times New Roman" w:eastAsia="Times New Roman" w:hAnsi="Times New Roman" w:cs="Times New Roman"/>
                <w:color w:val="323842"/>
                <w:sz w:val="20"/>
                <w:szCs w:val="20"/>
                <w:lang w:eastAsia="uk-UA"/>
              </w:rPr>
              <w:t>на основі даних субрахунку 7311 «Фінансові доходи розпорядників бюджетних коштів»</w:t>
            </w:r>
          </w:p>
        </w:tc>
      </w:tr>
      <w:tr w:rsidR="00C775B2" w:rsidRPr="002C4941" w14:paraId="65042BF3" w14:textId="77777777" w:rsidTr="00E8353A">
        <w:trPr>
          <w:trHeight w:val="20"/>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07E3CCB0" w14:textId="77777777" w:rsidR="00C775B2" w:rsidRPr="002C4941" w:rsidRDefault="00C775B2"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i/>
                <w:iCs/>
                <w:color w:val="323842"/>
                <w:sz w:val="20"/>
                <w:szCs w:val="20"/>
                <w:lang w:eastAsia="uk-UA"/>
              </w:rPr>
              <w:t>роялті</w:t>
            </w:r>
          </w:p>
        </w:tc>
        <w:tc>
          <w:tcPr>
            <w:tcW w:w="144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493040A6" w14:textId="77777777" w:rsidR="00C775B2" w:rsidRPr="002C4941" w:rsidRDefault="00C775B2" w:rsidP="00E8353A">
            <w:pPr>
              <w:spacing w:after="0" w:line="240" w:lineRule="auto"/>
              <w:jc w:val="center"/>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830</w:t>
            </w:r>
          </w:p>
        </w:tc>
        <w:tc>
          <w:tcPr>
            <w:tcW w:w="495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5B2CE96F" w14:textId="04E5AA93" w:rsidR="00C775B2" w:rsidRPr="002C4941" w:rsidRDefault="009C0BDD"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заповнюється</w:t>
            </w:r>
            <w:r w:rsidR="008C7C94" w:rsidRPr="002C4941">
              <w:rPr>
                <w:rFonts w:ascii="Times New Roman" w:eastAsia="Times New Roman" w:hAnsi="Times New Roman" w:cs="Times New Roman"/>
                <w:color w:val="323842"/>
                <w:sz w:val="20"/>
                <w:szCs w:val="20"/>
                <w:lang w:eastAsia="uk-UA"/>
              </w:rPr>
              <w:t xml:space="preserve"> </w:t>
            </w:r>
            <w:r w:rsidR="00C775B2" w:rsidRPr="002C4941">
              <w:rPr>
                <w:rFonts w:ascii="Times New Roman" w:eastAsia="Times New Roman" w:hAnsi="Times New Roman" w:cs="Times New Roman"/>
                <w:color w:val="323842"/>
                <w:sz w:val="20"/>
                <w:szCs w:val="20"/>
                <w:lang w:eastAsia="uk-UA"/>
              </w:rPr>
              <w:t>на основі даних субрахунку 7311 «Фінансові доходи розпорядників бюджетних коштів»</w:t>
            </w:r>
          </w:p>
        </w:tc>
      </w:tr>
      <w:tr w:rsidR="00C775B2" w:rsidRPr="002C4941" w14:paraId="26C74CFF" w14:textId="77777777" w:rsidTr="00E8353A">
        <w:trPr>
          <w:trHeight w:val="20"/>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6C17074E" w14:textId="77777777" w:rsidR="00C775B2" w:rsidRPr="002C4941" w:rsidRDefault="00C775B2"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i/>
                <w:iCs/>
                <w:color w:val="323842"/>
                <w:sz w:val="20"/>
                <w:szCs w:val="20"/>
                <w:lang w:eastAsia="uk-UA"/>
              </w:rPr>
              <w:t>дивіденди</w:t>
            </w:r>
          </w:p>
        </w:tc>
        <w:tc>
          <w:tcPr>
            <w:tcW w:w="144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4A80291B" w14:textId="77777777" w:rsidR="00C775B2" w:rsidRPr="002C4941" w:rsidRDefault="00C775B2" w:rsidP="00E8353A">
            <w:pPr>
              <w:spacing w:after="0" w:line="240" w:lineRule="auto"/>
              <w:jc w:val="center"/>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840</w:t>
            </w:r>
          </w:p>
        </w:tc>
        <w:tc>
          <w:tcPr>
            <w:tcW w:w="495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31B5CEB2" w14:textId="66A505F7" w:rsidR="00C775B2" w:rsidRPr="002C4941" w:rsidRDefault="009C0BDD"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заповнюється</w:t>
            </w:r>
            <w:r w:rsidR="008C7C94" w:rsidRPr="002C4941">
              <w:rPr>
                <w:rFonts w:ascii="Times New Roman" w:eastAsia="Times New Roman" w:hAnsi="Times New Roman" w:cs="Times New Roman"/>
                <w:color w:val="323842"/>
                <w:sz w:val="20"/>
                <w:szCs w:val="20"/>
                <w:lang w:eastAsia="uk-UA"/>
              </w:rPr>
              <w:t xml:space="preserve"> </w:t>
            </w:r>
            <w:r w:rsidR="00C775B2" w:rsidRPr="002C4941">
              <w:rPr>
                <w:rFonts w:ascii="Times New Roman" w:eastAsia="Times New Roman" w:hAnsi="Times New Roman" w:cs="Times New Roman"/>
                <w:color w:val="323842"/>
                <w:sz w:val="20"/>
                <w:szCs w:val="20"/>
                <w:lang w:eastAsia="uk-UA"/>
              </w:rPr>
              <w:t>на основі даних субрахунку 7311 «Фінансові доходи розпорядників бюджетних коштів»</w:t>
            </w:r>
          </w:p>
        </w:tc>
      </w:tr>
      <w:tr w:rsidR="00C775B2" w:rsidRPr="002C4941" w14:paraId="0BE095A3" w14:textId="77777777" w:rsidTr="00E8353A">
        <w:trPr>
          <w:trHeight w:val="20"/>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46E18D4E" w14:textId="77777777" w:rsidR="00C775B2" w:rsidRPr="002C4941" w:rsidRDefault="00C775B2"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b/>
                <w:bCs/>
                <w:color w:val="323842"/>
                <w:sz w:val="20"/>
                <w:szCs w:val="20"/>
                <w:lang w:eastAsia="uk-UA"/>
              </w:rPr>
              <w:t>інші доходи від обмінних операцій</w:t>
            </w:r>
          </w:p>
        </w:tc>
        <w:tc>
          <w:tcPr>
            <w:tcW w:w="144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55F6CBCA" w14:textId="77777777" w:rsidR="00C775B2" w:rsidRPr="002C4941" w:rsidRDefault="00C775B2" w:rsidP="00E8353A">
            <w:pPr>
              <w:spacing w:after="0" w:line="240" w:lineRule="auto"/>
              <w:jc w:val="center"/>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b/>
                <w:bCs/>
                <w:color w:val="323842"/>
                <w:sz w:val="20"/>
                <w:szCs w:val="20"/>
                <w:lang w:eastAsia="uk-UA"/>
              </w:rPr>
              <w:t>850</w:t>
            </w:r>
          </w:p>
        </w:tc>
        <w:tc>
          <w:tcPr>
            <w:tcW w:w="495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77F4F825" w14:textId="5D391045" w:rsidR="00C775B2" w:rsidRPr="002C4941" w:rsidRDefault="009C0BDD" w:rsidP="008C7C94">
            <w:pPr>
              <w:spacing w:after="0" w:line="240" w:lineRule="auto"/>
              <w:jc w:val="center"/>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b/>
                <w:bCs/>
                <w:color w:val="323842"/>
                <w:sz w:val="20"/>
                <w:szCs w:val="20"/>
                <w:lang w:eastAsia="uk-UA"/>
              </w:rPr>
              <w:t>заповнюється</w:t>
            </w:r>
            <w:r w:rsidR="008C7C94" w:rsidRPr="002C4941">
              <w:rPr>
                <w:rFonts w:ascii="Times New Roman" w:eastAsia="Times New Roman" w:hAnsi="Times New Roman" w:cs="Times New Roman"/>
                <w:color w:val="323842"/>
                <w:sz w:val="20"/>
                <w:szCs w:val="20"/>
                <w:lang w:eastAsia="uk-UA"/>
              </w:rPr>
              <w:t xml:space="preserve"> </w:t>
            </w:r>
            <w:r w:rsidR="00C775B2" w:rsidRPr="002C4941">
              <w:rPr>
                <w:rFonts w:ascii="Times New Roman" w:eastAsia="Times New Roman" w:hAnsi="Times New Roman" w:cs="Times New Roman"/>
                <w:b/>
                <w:bCs/>
                <w:color w:val="323842"/>
                <w:sz w:val="20"/>
                <w:szCs w:val="20"/>
                <w:lang w:eastAsia="uk-UA"/>
              </w:rPr>
              <w:t>як суму рядків 851-853 і 950</w:t>
            </w:r>
          </w:p>
        </w:tc>
      </w:tr>
      <w:tr w:rsidR="00C775B2" w:rsidRPr="002C4941" w14:paraId="1C33F968" w14:textId="77777777" w:rsidTr="00E8353A">
        <w:trPr>
          <w:trHeight w:val="20"/>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41D93ACC" w14:textId="77777777" w:rsidR="00C775B2" w:rsidRPr="002C4941" w:rsidRDefault="00C775B2"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i/>
                <w:iCs/>
                <w:color w:val="323842"/>
                <w:sz w:val="20"/>
                <w:szCs w:val="20"/>
                <w:lang w:eastAsia="uk-UA"/>
              </w:rPr>
              <w:t>у тому числі:</w:t>
            </w:r>
          </w:p>
        </w:tc>
        <w:tc>
          <w:tcPr>
            <w:tcW w:w="144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45B180DF" w14:textId="77777777" w:rsidR="00C775B2" w:rsidRPr="002C4941" w:rsidRDefault="00C775B2" w:rsidP="00E8353A">
            <w:pPr>
              <w:spacing w:after="0" w:line="240" w:lineRule="auto"/>
              <w:jc w:val="center"/>
              <w:rPr>
                <w:rFonts w:ascii="Times New Roman" w:eastAsia="Times New Roman" w:hAnsi="Times New Roman" w:cs="Times New Roman"/>
                <w:color w:val="323842"/>
                <w:sz w:val="20"/>
                <w:szCs w:val="20"/>
                <w:lang w:eastAsia="uk-UA"/>
              </w:rPr>
            </w:pPr>
          </w:p>
        </w:tc>
        <w:tc>
          <w:tcPr>
            <w:tcW w:w="495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45A9BFE8" w14:textId="77777777" w:rsidR="00C775B2" w:rsidRPr="002C4941" w:rsidRDefault="00C775B2" w:rsidP="00E8353A">
            <w:pPr>
              <w:spacing w:after="0" w:line="240" w:lineRule="auto"/>
              <w:jc w:val="both"/>
              <w:rPr>
                <w:rFonts w:ascii="Times New Roman" w:eastAsia="Times New Roman" w:hAnsi="Times New Roman" w:cs="Times New Roman"/>
                <w:color w:val="323842"/>
                <w:sz w:val="20"/>
                <w:szCs w:val="20"/>
                <w:lang w:eastAsia="uk-UA"/>
              </w:rPr>
            </w:pPr>
          </w:p>
        </w:tc>
      </w:tr>
      <w:tr w:rsidR="00C775B2" w:rsidRPr="002C4941" w14:paraId="03E60B14" w14:textId="77777777" w:rsidTr="00E8353A">
        <w:trPr>
          <w:trHeight w:val="20"/>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10F3C142" w14:textId="77777777" w:rsidR="00C775B2" w:rsidRPr="002C4941" w:rsidRDefault="00C775B2"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i/>
                <w:iCs/>
                <w:color w:val="323842"/>
                <w:sz w:val="20"/>
                <w:szCs w:val="20"/>
                <w:lang w:eastAsia="uk-UA"/>
              </w:rPr>
              <w:t>курсова різниця</w:t>
            </w:r>
          </w:p>
        </w:tc>
        <w:tc>
          <w:tcPr>
            <w:tcW w:w="144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7249B679" w14:textId="77777777" w:rsidR="00C775B2" w:rsidRPr="002C4941" w:rsidRDefault="00C775B2" w:rsidP="00E8353A">
            <w:pPr>
              <w:spacing w:after="0" w:line="240" w:lineRule="auto"/>
              <w:jc w:val="center"/>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851</w:t>
            </w:r>
          </w:p>
        </w:tc>
        <w:tc>
          <w:tcPr>
            <w:tcW w:w="495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10EA3453" w14:textId="7800A33C" w:rsidR="00C775B2" w:rsidRPr="002C4941" w:rsidRDefault="008C7C94"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 xml:space="preserve">заповнюється </w:t>
            </w:r>
            <w:r w:rsidR="00C775B2" w:rsidRPr="002C4941">
              <w:rPr>
                <w:rFonts w:ascii="Times New Roman" w:eastAsia="Times New Roman" w:hAnsi="Times New Roman" w:cs="Times New Roman"/>
                <w:color w:val="323842"/>
                <w:sz w:val="20"/>
                <w:szCs w:val="20"/>
                <w:lang w:eastAsia="uk-UA"/>
              </w:rPr>
              <w:t>на основі даних субрахунку 7411 «Інші доходи за обмінними операціями»</w:t>
            </w:r>
          </w:p>
        </w:tc>
      </w:tr>
      <w:tr w:rsidR="00C775B2" w:rsidRPr="002C4941" w14:paraId="69B9031C" w14:textId="77777777" w:rsidTr="00E8353A">
        <w:trPr>
          <w:trHeight w:val="20"/>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2B43B736" w14:textId="77777777" w:rsidR="00C775B2" w:rsidRPr="002C4941" w:rsidRDefault="00C775B2"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i/>
                <w:iCs/>
                <w:color w:val="323842"/>
                <w:sz w:val="20"/>
                <w:szCs w:val="20"/>
                <w:lang w:eastAsia="uk-UA"/>
              </w:rPr>
              <w:t>дооцінка активів у межах суми попередньої уцінки</w:t>
            </w:r>
          </w:p>
        </w:tc>
        <w:tc>
          <w:tcPr>
            <w:tcW w:w="144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5FD86E41" w14:textId="77777777" w:rsidR="00C775B2" w:rsidRPr="002C4941" w:rsidRDefault="00C775B2" w:rsidP="00E8353A">
            <w:pPr>
              <w:spacing w:after="0" w:line="240" w:lineRule="auto"/>
              <w:jc w:val="center"/>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852</w:t>
            </w:r>
          </w:p>
        </w:tc>
        <w:tc>
          <w:tcPr>
            <w:tcW w:w="495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0D0A9313" w14:textId="787207DF" w:rsidR="00C775B2" w:rsidRPr="002C4941" w:rsidRDefault="008C7C94"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 xml:space="preserve">заповнюється </w:t>
            </w:r>
            <w:r w:rsidR="00C775B2" w:rsidRPr="002C4941">
              <w:rPr>
                <w:rFonts w:ascii="Times New Roman" w:eastAsia="Times New Roman" w:hAnsi="Times New Roman" w:cs="Times New Roman"/>
                <w:color w:val="323842"/>
                <w:sz w:val="20"/>
                <w:szCs w:val="20"/>
                <w:lang w:eastAsia="uk-UA"/>
              </w:rPr>
              <w:t>на основі даних субрахунку 7411 «Інші доходи за обмінними операціями»</w:t>
            </w:r>
          </w:p>
        </w:tc>
      </w:tr>
      <w:tr w:rsidR="00C775B2" w:rsidRPr="002C4941" w14:paraId="7ED2933F" w14:textId="77777777" w:rsidTr="00E8353A">
        <w:trPr>
          <w:trHeight w:val="20"/>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79B946C0" w14:textId="77777777" w:rsidR="00C775B2" w:rsidRPr="002C4941" w:rsidRDefault="00C775B2"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i/>
                <w:iCs/>
                <w:color w:val="323842"/>
                <w:sz w:val="20"/>
                <w:szCs w:val="20"/>
                <w:lang w:eastAsia="uk-UA"/>
              </w:rPr>
              <w:t>відновлення корисності активів</w:t>
            </w:r>
          </w:p>
        </w:tc>
        <w:tc>
          <w:tcPr>
            <w:tcW w:w="144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53DC1E13" w14:textId="77777777" w:rsidR="00C775B2" w:rsidRPr="002C4941" w:rsidRDefault="00C775B2" w:rsidP="00E8353A">
            <w:pPr>
              <w:spacing w:after="0" w:line="240" w:lineRule="auto"/>
              <w:jc w:val="center"/>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853</w:t>
            </w:r>
          </w:p>
        </w:tc>
        <w:tc>
          <w:tcPr>
            <w:tcW w:w="495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3E7A8F27" w14:textId="7F0B28F2" w:rsidR="00C775B2" w:rsidRPr="002C4941" w:rsidRDefault="008C7C94"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 xml:space="preserve">заповнюється </w:t>
            </w:r>
            <w:r w:rsidR="00C775B2" w:rsidRPr="002C4941">
              <w:rPr>
                <w:rFonts w:ascii="Times New Roman" w:eastAsia="Times New Roman" w:hAnsi="Times New Roman" w:cs="Times New Roman"/>
                <w:color w:val="323842"/>
                <w:sz w:val="20"/>
                <w:szCs w:val="20"/>
                <w:lang w:eastAsia="uk-UA"/>
              </w:rPr>
              <w:t>на основі даних субрахунку 7411 «Інші доходи за обмінними операціями»</w:t>
            </w:r>
          </w:p>
        </w:tc>
      </w:tr>
      <w:tr w:rsidR="00C775B2" w:rsidRPr="002C4941" w14:paraId="0752BAB8" w14:textId="77777777" w:rsidTr="00E8353A">
        <w:trPr>
          <w:trHeight w:val="20"/>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6F67CE0C" w14:textId="77777777" w:rsidR="00C775B2" w:rsidRPr="002C4941" w:rsidRDefault="00C775B2"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від необмінних операцій:</w:t>
            </w:r>
          </w:p>
        </w:tc>
        <w:tc>
          <w:tcPr>
            <w:tcW w:w="144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7C588D6E" w14:textId="77777777" w:rsidR="00C775B2" w:rsidRPr="002C4941" w:rsidRDefault="00C775B2" w:rsidP="00E8353A">
            <w:pPr>
              <w:spacing w:after="0" w:line="240" w:lineRule="auto"/>
              <w:jc w:val="center"/>
              <w:rPr>
                <w:rFonts w:ascii="Times New Roman" w:eastAsia="Times New Roman" w:hAnsi="Times New Roman" w:cs="Times New Roman"/>
                <w:color w:val="323842"/>
                <w:sz w:val="20"/>
                <w:szCs w:val="20"/>
                <w:lang w:eastAsia="uk-UA"/>
              </w:rPr>
            </w:pPr>
          </w:p>
        </w:tc>
        <w:tc>
          <w:tcPr>
            <w:tcW w:w="495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6C36A487" w14:textId="1E0B5852" w:rsidR="00C775B2" w:rsidRPr="002C4941" w:rsidRDefault="008C7C94" w:rsidP="008C7C94">
            <w:pPr>
              <w:spacing w:after="0" w:line="240" w:lineRule="auto"/>
              <w:jc w:val="center"/>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val="ru-RU" w:eastAsia="uk-UA"/>
              </w:rPr>
              <w:t>з</w:t>
            </w:r>
            <w:proofErr w:type="spellStart"/>
            <w:r w:rsidRPr="002C4941">
              <w:rPr>
                <w:rFonts w:ascii="Times New Roman" w:eastAsia="Times New Roman" w:hAnsi="Times New Roman" w:cs="Times New Roman"/>
                <w:color w:val="323842"/>
                <w:sz w:val="20"/>
                <w:szCs w:val="20"/>
                <w:lang w:eastAsia="uk-UA"/>
              </w:rPr>
              <w:t>аповню</w:t>
            </w:r>
            <w:proofErr w:type="spellEnd"/>
            <w:r w:rsidRPr="002C4941">
              <w:rPr>
                <w:rFonts w:ascii="Times New Roman" w:eastAsia="Times New Roman" w:hAnsi="Times New Roman" w:cs="Times New Roman"/>
                <w:color w:val="323842"/>
                <w:sz w:val="20"/>
                <w:szCs w:val="20"/>
                <w:lang w:val="ru-RU" w:eastAsia="uk-UA"/>
              </w:rPr>
              <w:t>ю</w:t>
            </w:r>
            <w:proofErr w:type="spellStart"/>
            <w:r w:rsidRPr="002C4941">
              <w:rPr>
                <w:rFonts w:ascii="Times New Roman" w:eastAsia="Times New Roman" w:hAnsi="Times New Roman" w:cs="Times New Roman"/>
                <w:color w:val="323842"/>
                <w:sz w:val="20"/>
                <w:szCs w:val="20"/>
                <w:lang w:eastAsia="uk-UA"/>
              </w:rPr>
              <w:t>ється</w:t>
            </w:r>
            <w:proofErr w:type="spellEnd"/>
            <w:r w:rsidRPr="002C4941">
              <w:rPr>
                <w:rFonts w:ascii="Times New Roman" w:eastAsia="Times New Roman" w:hAnsi="Times New Roman" w:cs="Times New Roman"/>
                <w:color w:val="323842"/>
                <w:sz w:val="20"/>
                <w:szCs w:val="20"/>
                <w:lang w:eastAsia="uk-UA"/>
              </w:rPr>
              <w:t xml:space="preserve"> </w:t>
            </w:r>
            <w:r w:rsidR="00C775B2" w:rsidRPr="002C4941">
              <w:rPr>
                <w:rFonts w:ascii="Times New Roman" w:eastAsia="Times New Roman" w:hAnsi="Times New Roman" w:cs="Times New Roman"/>
                <w:color w:val="323842"/>
                <w:sz w:val="20"/>
                <w:szCs w:val="20"/>
                <w:lang w:eastAsia="uk-UA"/>
              </w:rPr>
              <w:t>як сум</w:t>
            </w:r>
            <w:r w:rsidRPr="002C4941">
              <w:rPr>
                <w:rFonts w:ascii="Times New Roman" w:eastAsia="Times New Roman" w:hAnsi="Times New Roman" w:cs="Times New Roman"/>
                <w:color w:val="323842"/>
                <w:sz w:val="20"/>
                <w:szCs w:val="20"/>
                <w:lang w:eastAsia="uk-UA"/>
              </w:rPr>
              <w:t>а</w:t>
            </w:r>
            <w:r w:rsidR="00C775B2" w:rsidRPr="002C4941">
              <w:rPr>
                <w:rFonts w:ascii="Times New Roman" w:eastAsia="Times New Roman" w:hAnsi="Times New Roman" w:cs="Times New Roman"/>
                <w:color w:val="323842"/>
                <w:sz w:val="20"/>
                <w:szCs w:val="20"/>
                <w:lang w:eastAsia="uk-UA"/>
              </w:rPr>
              <w:t xml:space="preserve"> рядків 860-910</w:t>
            </w:r>
          </w:p>
        </w:tc>
      </w:tr>
      <w:tr w:rsidR="00C775B2" w:rsidRPr="002C4941" w14:paraId="46D7A73B" w14:textId="77777777" w:rsidTr="00E8353A">
        <w:trPr>
          <w:trHeight w:val="20"/>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0BD1D913" w14:textId="77777777" w:rsidR="00C775B2" w:rsidRPr="002C4941" w:rsidRDefault="00C775B2"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податкові надходження</w:t>
            </w:r>
          </w:p>
        </w:tc>
        <w:tc>
          <w:tcPr>
            <w:tcW w:w="144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0C81522C" w14:textId="77777777" w:rsidR="00C775B2" w:rsidRPr="002C4941" w:rsidRDefault="00C775B2" w:rsidP="00E8353A">
            <w:pPr>
              <w:spacing w:after="0" w:line="240" w:lineRule="auto"/>
              <w:jc w:val="center"/>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860</w:t>
            </w:r>
          </w:p>
        </w:tc>
        <w:tc>
          <w:tcPr>
            <w:tcW w:w="495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583A122A" w14:textId="77777777" w:rsidR="00C775B2" w:rsidRPr="002C4941" w:rsidRDefault="00C775B2" w:rsidP="00E8353A">
            <w:pPr>
              <w:spacing w:after="0" w:line="240" w:lineRule="auto"/>
              <w:jc w:val="center"/>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w:t>
            </w:r>
          </w:p>
        </w:tc>
      </w:tr>
      <w:tr w:rsidR="00C775B2" w:rsidRPr="002C4941" w14:paraId="4D84FB5D" w14:textId="77777777" w:rsidTr="00E8353A">
        <w:trPr>
          <w:trHeight w:val="20"/>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5A375155" w14:textId="77777777" w:rsidR="00C775B2" w:rsidRPr="002C4941" w:rsidRDefault="00C775B2"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неподаткові надходження</w:t>
            </w:r>
          </w:p>
        </w:tc>
        <w:tc>
          <w:tcPr>
            <w:tcW w:w="144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17380DFC" w14:textId="77777777" w:rsidR="00C775B2" w:rsidRPr="002C4941" w:rsidRDefault="00C775B2" w:rsidP="00E8353A">
            <w:pPr>
              <w:spacing w:after="0" w:line="240" w:lineRule="auto"/>
              <w:jc w:val="center"/>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870</w:t>
            </w:r>
          </w:p>
        </w:tc>
        <w:tc>
          <w:tcPr>
            <w:tcW w:w="495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5C7D49CC" w14:textId="77777777" w:rsidR="00C775B2" w:rsidRPr="002C4941" w:rsidRDefault="00C775B2" w:rsidP="00E8353A">
            <w:pPr>
              <w:spacing w:after="0" w:line="240" w:lineRule="auto"/>
              <w:jc w:val="center"/>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w:t>
            </w:r>
          </w:p>
        </w:tc>
      </w:tr>
      <w:tr w:rsidR="00C775B2" w:rsidRPr="002C4941" w14:paraId="6003D160" w14:textId="77777777" w:rsidTr="00E8353A">
        <w:trPr>
          <w:trHeight w:val="20"/>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01ABF9FA" w14:textId="77777777" w:rsidR="00C775B2" w:rsidRPr="002C4941" w:rsidRDefault="00C775B2"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трансферти</w:t>
            </w:r>
          </w:p>
        </w:tc>
        <w:tc>
          <w:tcPr>
            <w:tcW w:w="144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3DA1A178" w14:textId="77777777" w:rsidR="00C775B2" w:rsidRPr="002C4941" w:rsidRDefault="00C775B2" w:rsidP="00E8353A">
            <w:pPr>
              <w:spacing w:after="0" w:line="240" w:lineRule="auto"/>
              <w:jc w:val="center"/>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880</w:t>
            </w:r>
          </w:p>
        </w:tc>
        <w:tc>
          <w:tcPr>
            <w:tcW w:w="495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7CBC5488" w14:textId="182EEC7F" w:rsidR="00C775B2" w:rsidRPr="002C4941" w:rsidRDefault="008C7C94" w:rsidP="008C7C94">
            <w:pPr>
              <w:spacing w:after="0" w:line="240" w:lineRule="auto"/>
              <w:jc w:val="center"/>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 xml:space="preserve">заповнюється </w:t>
            </w:r>
            <w:r w:rsidR="00C775B2" w:rsidRPr="002C4941">
              <w:rPr>
                <w:rFonts w:ascii="Times New Roman" w:eastAsia="Times New Roman" w:hAnsi="Times New Roman" w:cs="Times New Roman"/>
                <w:color w:val="323842"/>
                <w:sz w:val="20"/>
                <w:szCs w:val="20"/>
                <w:lang w:eastAsia="uk-UA"/>
              </w:rPr>
              <w:t>на основі даних субрахунку 7512 «Трансферти»</w:t>
            </w:r>
          </w:p>
        </w:tc>
      </w:tr>
      <w:tr w:rsidR="00C775B2" w:rsidRPr="002C4941" w14:paraId="3C0DB1A2" w14:textId="77777777" w:rsidTr="00E8353A">
        <w:trPr>
          <w:trHeight w:val="20"/>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0D844657" w14:textId="77777777" w:rsidR="00C775B2" w:rsidRPr="002C4941" w:rsidRDefault="00C775B2"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гранти та дарунки</w:t>
            </w:r>
          </w:p>
        </w:tc>
        <w:tc>
          <w:tcPr>
            <w:tcW w:w="144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268B31C0" w14:textId="77777777" w:rsidR="00C775B2" w:rsidRPr="002C4941" w:rsidRDefault="00C775B2" w:rsidP="00E8353A">
            <w:pPr>
              <w:spacing w:after="0" w:line="240" w:lineRule="auto"/>
              <w:jc w:val="center"/>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890</w:t>
            </w:r>
          </w:p>
        </w:tc>
        <w:tc>
          <w:tcPr>
            <w:tcW w:w="495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45006ACA" w14:textId="40ED1F4B" w:rsidR="00C775B2" w:rsidRPr="002C4941" w:rsidRDefault="008C7C94" w:rsidP="008C7C94">
            <w:pPr>
              <w:spacing w:after="0" w:line="240" w:lineRule="auto"/>
              <w:jc w:val="center"/>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 xml:space="preserve">заповнюється </w:t>
            </w:r>
            <w:r w:rsidR="00C775B2" w:rsidRPr="002C4941">
              <w:rPr>
                <w:rFonts w:ascii="Times New Roman" w:eastAsia="Times New Roman" w:hAnsi="Times New Roman" w:cs="Times New Roman"/>
                <w:color w:val="323842"/>
                <w:sz w:val="20"/>
                <w:szCs w:val="20"/>
                <w:lang w:eastAsia="uk-UA"/>
              </w:rPr>
              <w:t>на основі даних субрахунку 7511 «Доходи за необмінними операціями»</w:t>
            </w:r>
          </w:p>
        </w:tc>
      </w:tr>
      <w:tr w:rsidR="00C775B2" w:rsidRPr="002C4941" w14:paraId="6A8B1B0A" w14:textId="77777777" w:rsidTr="00E8353A">
        <w:trPr>
          <w:trHeight w:val="20"/>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74645D0E" w14:textId="77777777" w:rsidR="00C775B2" w:rsidRPr="002C4941" w:rsidRDefault="00C775B2"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надходження до державних цільових фондів</w:t>
            </w:r>
          </w:p>
        </w:tc>
        <w:tc>
          <w:tcPr>
            <w:tcW w:w="144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4952CDAF" w14:textId="77777777" w:rsidR="00C775B2" w:rsidRPr="002C4941" w:rsidRDefault="00C775B2" w:rsidP="00E8353A">
            <w:pPr>
              <w:spacing w:after="0" w:line="240" w:lineRule="auto"/>
              <w:jc w:val="center"/>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900</w:t>
            </w:r>
          </w:p>
        </w:tc>
        <w:tc>
          <w:tcPr>
            <w:tcW w:w="495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08A9861F" w14:textId="77777777" w:rsidR="00C775B2" w:rsidRPr="002C4941" w:rsidRDefault="00C775B2" w:rsidP="00E8353A">
            <w:pPr>
              <w:spacing w:after="0" w:line="240" w:lineRule="auto"/>
              <w:jc w:val="center"/>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w:t>
            </w:r>
          </w:p>
        </w:tc>
      </w:tr>
      <w:tr w:rsidR="00C775B2" w:rsidRPr="002C4941" w14:paraId="7DEED6FE" w14:textId="77777777" w:rsidTr="00E8353A">
        <w:trPr>
          <w:trHeight w:val="20"/>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75994F48" w14:textId="77777777" w:rsidR="00C775B2" w:rsidRPr="002C4941" w:rsidRDefault="00C775B2"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списаних зобов'язань, що не підлягають погашенню</w:t>
            </w:r>
          </w:p>
        </w:tc>
        <w:tc>
          <w:tcPr>
            <w:tcW w:w="144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158378A4" w14:textId="77777777" w:rsidR="00C775B2" w:rsidRPr="002C4941" w:rsidRDefault="00C775B2" w:rsidP="00E8353A">
            <w:pPr>
              <w:spacing w:after="0" w:line="240" w:lineRule="auto"/>
              <w:jc w:val="center"/>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910</w:t>
            </w:r>
          </w:p>
        </w:tc>
        <w:tc>
          <w:tcPr>
            <w:tcW w:w="495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6FB7EC3D" w14:textId="6DE7056D" w:rsidR="00C775B2" w:rsidRPr="002C4941" w:rsidRDefault="008C7C94" w:rsidP="008C7C94">
            <w:pPr>
              <w:spacing w:after="0" w:line="240" w:lineRule="auto"/>
              <w:jc w:val="center"/>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 xml:space="preserve">заповнюється </w:t>
            </w:r>
            <w:r w:rsidR="00C775B2" w:rsidRPr="002C4941">
              <w:rPr>
                <w:rFonts w:ascii="Times New Roman" w:eastAsia="Times New Roman" w:hAnsi="Times New Roman" w:cs="Times New Roman"/>
                <w:color w:val="323842"/>
                <w:sz w:val="20"/>
                <w:szCs w:val="20"/>
                <w:lang w:eastAsia="uk-UA"/>
              </w:rPr>
              <w:t>на основі даних субрахунку 7511 «Доходи за необмінними операціями»</w:t>
            </w:r>
          </w:p>
        </w:tc>
      </w:tr>
      <w:tr w:rsidR="00C775B2" w:rsidRPr="002C4941" w14:paraId="3714C6F2" w14:textId="77777777" w:rsidTr="00E8353A">
        <w:trPr>
          <w:trHeight w:val="20"/>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4EBAD1C6" w14:textId="77777777" w:rsidR="00C775B2" w:rsidRPr="002C4941" w:rsidRDefault="00C775B2"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b/>
                <w:bCs/>
                <w:color w:val="323842"/>
                <w:sz w:val="20"/>
                <w:szCs w:val="20"/>
                <w:lang w:eastAsia="uk-UA"/>
              </w:rPr>
              <w:t>Інші витрати - усього</w:t>
            </w:r>
          </w:p>
        </w:tc>
        <w:tc>
          <w:tcPr>
            <w:tcW w:w="144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700E6A60" w14:textId="77777777" w:rsidR="00C775B2" w:rsidRPr="002C4941" w:rsidRDefault="00C775B2" w:rsidP="00E8353A">
            <w:pPr>
              <w:spacing w:after="0" w:line="240" w:lineRule="auto"/>
              <w:jc w:val="center"/>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b/>
                <w:bCs/>
                <w:color w:val="323842"/>
                <w:sz w:val="20"/>
                <w:szCs w:val="20"/>
                <w:lang w:eastAsia="uk-UA"/>
              </w:rPr>
              <w:t>920</w:t>
            </w:r>
          </w:p>
        </w:tc>
        <w:tc>
          <w:tcPr>
            <w:tcW w:w="495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7413CFB8" w14:textId="52C80F59" w:rsidR="00C775B2" w:rsidRPr="002C4941" w:rsidRDefault="008C7C94"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b/>
                <w:bCs/>
                <w:color w:val="323842"/>
                <w:sz w:val="20"/>
                <w:szCs w:val="20"/>
                <w:lang w:eastAsia="uk-UA"/>
              </w:rPr>
              <w:t>Заповнюється</w:t>
            </w:r>
            <w:r w:rsidRPr="002C4941">
              <w:rPr>
                <w:rFonts w:ascii="Times New Roman" w:eastAsia="Times New Roman" w:hAnsi="Times New Roman" w:cs="Times New Roman"/>
                <w:color w:val="323842"/>
                <w:sz w:val="20"/>
                <w:szCs w:val="20"/>
                <w:lang w:eastAsia="uk-UA"/>
              </w:rPr>
              <w:t xml:space="preserve"> </w:t>
            </w:r>
            <w:r w:rsidR="00C775B2" w:rsidRPr="002C4941">
              <w:rPr>
                <w:rFonts w:ascii="Times New Roman" w:eastAsia="Times New Roman" w:hAnsi="Times New Roman" w:cs="Times New Roman"/>
                <w:b/>
                <w:bCs/>
                <w:color w:val="323842"/>
                <w:sz w:val="20"/>
                <w:szCs w:val="20"/>
                <w:lang w:eastAsia="uk-UA"/>
              </w:rPr>
              <w:t xml:space="preserve">як суму рядків 930 і 940. </w:t>
            </w:r>
            <w:r w:rsidR="00C775B2" w:rsidRPr="002C4941">
              <w:rPr>
                <w:rFonts w:ascii="Times New Roman" w:eastAsia="Times New Roman" w:hAnsi="Times New Roman" w:cs="Times New Roman"/>
                <w:color w:val="323842"/>
                <w:sz w:val="20"/>
                <w:szCs w:val="20"/>
                <w:lang w:eastAsia="uk-UA"/>
              </w:rPr>
              <w:t>Ця сума НЕ повинна відповідати ряд. 2380 форми 2-дс «Усього витрат» (Роз’яснення ДКСУ*)</w:t>
            </w:r>
          </w:p>
        </w:tc>
      </w:tr>
      <w:tr w:rsidR="00C775B2" w:rsidRPr="002C4941" w14:paraId="2E4F3B20" w14:textId="77777777" w:rsidTr="00E8353A">
        <w:trPr>
          <w:trHeight w:val="20"/>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33210A8E" w14:textId="77777777" w:rsidR="00C775B2" w:rsidRPr="002C4941" w:rsidRDefault="00C775B2"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у тому числі:</w:t>
            </w:r>
          </w:p>
        </w:tc>
        <w:tc>
          <w:tcPr>
            <w:tcW w:w="144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159EBEDB" w14:textId="77777777" w:rsidR="00C775B2" w:rsidRPr="002C4941" w:rsidRDefault="00C775B2" w:rsidP="00E8353A">
            <w:pPr>
              <w:spacing w:after="0" w:line="240" w:lineRule="auto"/>
              <w:jc w:val="center"/>
              <w:rPr>
                <w:rFonts w:ascii="Times New Roman" w:eastAsia="Times New Roman" w:hAnsi="Times New Roman" w:cs="Times New Roman"/>
                <w:color w:val="323842"/>
                <w:sz w:val="20"/>
                <w:szCs w:val="20"/>
                <w:lang w:eastAsia="uk-UA"/>
              </w:rPr>
            </w:pPr>
          </w:p>
        </w:tc>
        <w:tc>
          <w:tcPr>
            <w:tcW w:w="495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060CA62A" w14:textId="77777777" w:rsidR="00C775B2" w:rsidRPr="002C4941" w:rsidRDefault="00C775B2" w:rsidP="00E8353A">
            <w:pPr>
              <w:spacing w:after="0" w:line="240" w:lineRule="auto"/>
              <w:jc w:val="both"/>
              <w:rPr>
                <w:rFonts w:ascii="Times New Roman" w:eastAsia="Times New Roman" w:hAnsi="Times New Roman" w:cs="Times New Roman"/>
                <w:color w:val="323842"/>
                <w:sz w:val="20"/>
                <w:szCs w:val="20"/>
                <w:lang w:eastAsia="uk-UA"/>
              </w:rPr>
            </w:pPr>
          </w:p>
        </w:tc>
      </w:tr>
      <w:tr w:rsidR="00C775B2" w:rsidRPr="002C4941" w14:paraId="56CBE48B" w14:textId="77777777" w:rsidTr="00E8353A">
        <w:trPr>
          <w:trHeight w:val="20"/>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309C185D" w14:textId="77777777" w:rsidR="00C775B2" w:rsidRPr="002C4941" w:rsidRDefault="00C775B2"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інші витрати за обмінними операціями</w:t>
            </w:r>
          </w:p>
        </w:tc>
        <w:tc>
          <w:tcPr>
            <w:tcW w:w="144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6F5F642D" w14:textId="77777777" w:rsidR="00C775B2" w:rsidRPr="002C4941" w:rsidRDefault="00C775B2" w:rsidP="00E8353A">
            <w:pPr>
              <w:spacing w:after="0" w:line="240" w:lineRule="auto"/>
              <w:jc w:val="center"/>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930</w:t>
            </w:r>
          </w:p>
        </w:tc>
        <w:tc>
          <w:tcPr>
            <w:tcW w:w="495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3992FB9F" w14:textId="64749F12" w:rsidR="00C775B2" w:rsidRPr="002C4941" w:rsidRDefault="008C7C94"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 xml:space="preserve">Заповнюється </w:t>
            </w:r>
            <w:r w:rsidR="00C775B2" w:rsidRPr="002C4941">
              <w:rPr>
                <w:rFonts w:ascii="Times New Roman" w:eastAsia="Times New Roman" w:hAnsi="Times New Roman" w:cs="Times New Roman"/>
                <w:color w:val="323842"/>
                <w:sz w:val="20"/>
                <w:szCs w:val="20"/>
                <w:lang w:eastAsia="uk-UA"/>
              </w:rPr>
              <w:t>на основі даних субрахунку 8411 «Інші витрати за обмінними операціями». Дана сума може бути більшою, ніж сума за ряд. 931-940 і 960</w:t>
            </w:r>
          </w:p>
        </w:tc>
      </w:tr>
      <w:tr w:rsidR="00C775B2" w:rsidRPr="002C4941" w14:paraId="115E8B8B" w14:textId="77777777" w:rsidTr="00E8353A">
        <w:trPr>
          <w:trHeight w:val="20"/>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670B83E8" w14:textId="77777777" w:rsidR="00C775B2" w:rsidRPr="002C4941" w:rsidRDefault="00C775B2"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з них:</w:t>
            </w:r>
          </w:p>
        </w:tc>
        <w:tc>
          <w:tcPr>
            <w:tcW w:w="144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3FD04C33" w14:textId="77777777" w:rsidR="00C775B2" w:rsidRPr="002C4941" w:rsidRDefault="00C775B2" w:rsidP="00E8353A">
            <w:pPr>
              <w:spacing w:after="0" w:line="240" w:lineRule="auto"/>
              <w:jc w:val="center"/>
              <w:rPr>
                <w:rFonts w:ascii="Times New Roman" w:eastAsia="Times New Roman" w:hAnsi="Times New Roman" w:cs="Times New Roman"/>
                <w:color w:val="323842"/>
                <w:sz w:val="20"/>
                <w:szCs w:val="20"/>
                <w:lang w:eastAsia="uk-UA"/>
              </w:rPr>
            </w:pPr>
          </w:p>
        </w:tc>
        <w:tc>
          <w:tcPr>
            <w:tcW w:w="495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3508101A" w14:textId="77777777" w:rsidR="00C775B2" w:rsidRPr="002C4941" w:rsidRDefault="00C775B2" w:rsidP="00E8353A">
            <w:pPr>
              <w:spacing w:after="0" w:line="240" w:lineRule="auto"/>
              <w:jc w:val="both"/>
              <w:rPr>
                <w:rFonts w:ascii="Times New Roman" w:eastAsia="Times New Roman" w:hAnsi="Times New Roman" w:cs="Times New Roman"/>
                <w:color w:val="323842"/>
                <w:sz w:val="20"/>
                <w:szCs w:val="20"/>
                <w:lang w:eastAsia="uk-UA"/>
              </w:rPr>
            </w:pPr>
          </w:p>
        </w:tc>
      </w:tr>
      <w:tr w:rsidR="00C775B2" w:rsidRPr="002C4941" w14:paraId="746677B7" w14:textId="77777777" w:rsidTr="00E8353A">
        <w:trPr>
          <w:trHeight w:val="20"/>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731BFBA8" w14:textId="77777777" w:rsidR="00C775B2" w:rsidRPr="002C4941" w:rsidRDefault="00C775B2"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курсова різниця</w:t>
            </w:r>
          </w:p>
        </w:tc>
        <w:tc>
          <w:tcPr>
            <w:tcW w:w="144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139243A9" w14:textId="77777777" w:rsidR="00C775B2" w:rsidRPr="002C4941" w:rsidRDefault="00C775B2" w:rsidP="00E8353A">
            <w:pPr>
              <w:spacing w:after="0" w:line="240" w:lineRule="auto"/>
              <w:jc w:val="center"/>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931</w:t>
            </w:r>
          </w:p>
        </w:tc>
        <w:tc>
          <w:tcPr>
            <w:tcW w:w="495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6D3A65F6" w14:textId="747FF8FE" w:rsidR="00C775B2" w:rsidRPr="002C4941" w:rsidRDefault="008C7C94"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 xml:space="preserve">заповнюється </w:t>
            </w:r>
            <w:r w:rsidR="00C775B2" w:rsidRPr="002C4941">
              <w:rPr>
                <w:rFonts w:ascii="Times New Roman" w:eastAsia="Times New Roman" w:hAnsi="Times New Roman" w:cs="Times New Roman"/>
                <w:color w:val="323842"/>
                <w:sz w:val="20"/>
                <w:szCs w:val="20"/>
                <w:lang w:eastAsia="uk-UA"/>
              </w:rPr>
              <w:t>на основі даних субрахунку 8411 «Інші витрати за обмінними операціями»</w:t>
            </w:r>
          </w:p>
        </w:tc>
      </w:tr>
      <w:tr w:rsidR="00C775B2" w:rsidRPr="002C4941" w14:paraId="45E9E4A5" w14:textId="77777777" w:rsidTr="00E8353A">
        <w:trPr>
          <w:trHeight w:val="20"/>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1A0B904F" w14:textId="77777777" w:rsidR="00C775B2" w:rsidRPr="002C4941" w:rsidRDefault="00C775B2"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витрати, пов'язані з реалізацією активів</w:t>
            </w:r>
          </w:p>
        </w:tc>
        <w:tc>
          <w:tcPr>
            <w:tcW w:w="144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48ABDEAC" w14:textId="77777777" w:rsidR="00C775B2" w:rsidRPr="002C4941" w:rsidRDefault="00C775B2" w:rsidP="00E8353A">
            <w:pPr>
              <w:spacing w:after="0" w:line="240" w:lineRule="auto"/>
              <w:jc w:val="center"/>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932</w:t>
            </w:r>
          </w:p>
        </w:tc>
        <w:tc>
          <w:tcPr>
            <w:tcW w:w="495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048A3A44" w14:textId="4E567E58" w:rsidR="00C775B2" w:rsidRPr="002C4941" w:rsidRDefault="008C7C94"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 xml:space="preserve">заповнюється </w:t>
            </w:r>
            <w:r w:rsidR="00C775B2" w:rsidRPr="002C4941">
              <w:rPr>
                <w:rFonts w:ascii="Times New Roman" w:eastAsia="Times New Roman" w:hAnsi="Times New Roman" w:cs="Times New Roman"/>
                <w:color w:val="323842"/>
                <w:sz w:val="20"/>
                <w:szCs w:val="20"/>
                <w:lang w:eastAsia="uk-UA"/>
              </w:rPr>
              <w:t>на основі даних субрахунку 8411 «Інші витрати за обмінними операціями»</w:t>
            </w:r>
          </w:p>
        </w:tc>
      </w:tr>
      <w:tr w:rsidR="00C775B2" w:rsidRPr="002C4941" w14:paraId="741DEFE8" w14:textId="77777777" w:rsidTr="00E8353A">
        <w:trPr>
          <w:trHeight w:val="20"/>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38F572A5" w14:textId="77777777" w:rsidR="00C775B2" w:rsidRPr="002C4941" w:rsidRDefault="00C775B2"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уцінка активів</w:t>
            </w:r>
          </w:p>
        </w:tc>
        <w:tc>
          <w:tcPr>
            <w:tcW w:w="144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3B3C0294" w14:textId="77777777" w:rsidR="00C775B2" w:rsidRPr="002C4941" w:rsidRDefault="00C775B2" w:rsidP="00E8353A">
            <w:pPr>
              <w:spacing w:after="0" w:line="240" w:lineRule="auto"/>
              <w:jc w:val="center"/>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933</w:t>
            </w:r>
          </w:p>
        </w:tc>
        <w:tc>
          <w:tcPr>
            <w:tcW w:w="495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083BAB0E" w14:textId="43AC90B6" w:rsidR="00C775B2" w:rsidRPr="002C4941" w:rsidRDefault="008C7C94"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 xml:space="preserve">заповнюється </w:t>
            </w:r>
            <w:r w:rsidR="00C775B2" w:rsidRPr="002C4941">
              <w:rPr>
                <w:rFonts w:ascii="Times New Roman" w:eastAsia="Times New Roman" w:hAnsi="Times New Roman" w:cs="Times New Roman"/>
                <w:color w:val="323842"/>
                <w:sz w:val="20"/>
                <w:szCs w:val="20"/>
                <w:lang w:eastAsia="uk-UA"/>
              </w:rPr>
              <w:t>на основі даних субрахунку 8411 «Інші витрати за обмінними операціями»</w:t>
            </w:r>
          </w:p>
        </w:tc>
      </w:tr>
      <w:tr w:rsidR="00C775B2" w:rsidRPr="002C4941" w14:paraId="30F95AAA" w14:textId="77777777" w:rsidTr="00E8353A">
        <w:trPr>
          <w:trHeight w:val="20"/>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3B897D7C" w14:textId="77777777" w:rsidR="00C775B2" w:rsidRPr="002C4941" w:rsidRDefault="00C775B2"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втрати від зменшення корисності активів</w:t>
            </w:r>
          </w:p>
        </w:tc>
        <w:tc>
          <w:tcPr>
            <w:tcW w:w="144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249FCE99" w14:textId="77777777" w:rsidR="00C775B2" w:rsidRPr="002C4941" w:rsidRDefault="00C775B2" w:rsidP="00E8353A">
            <w:pPr>
              <w:spacing w:after="0" w:line="240" w:lineRule="auto"/>
              <w:jc w:val="center"/>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934</w:t>
            </w:r>
          </w:p>
        </w:tc>
        <w:tc>
          <w:tcPr>
            <w:tcW w:w="495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21C5812D" w14:textId="2E11C9DA" w:rsidR="00C775B2" w:rsidRPr="002C4941" w:rsidRDefault="008C7C94"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 xml:space="preserve">заповнюється </w:t>
            </w:r>
            <w:r w:rsidR="00C775B2" w:rsidRPr="002C4941">
              <w:rPr>
                <w:rFonts w:ascii="Times New Roman" w:eastAsia="Times New Roman" w:hAnsi="Times New Roman" w:cs="Times New Roman"/>
                <w:color w:val="323842"/>
                <w:sz w:val="20"/>
                <w:szCs w:val="20"/>
                <w:lang w:eastAsia="uk-UA"/>
              </w:rPr>
              <w:t>на основі даних субрахунку 8411 «Інші витрати за обмінними операціями»</w:t>
            </w:r>
          </w:p>
        </w:tc>
      </w:tr>
      <w:tr w:rsidR="00C775B2" w:rsidRPr="002C4941" w14:paraId="0DB97A44" w14:textId="77777777" w:rsidTr="00E8353A">
        <w:trPr>
          <w:trHeight w:val="20"/>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6917F1E3" w14:textId="77777777" w:rsidR="00C775B2" w:rsidRPr="002C4941" w:rsidRDefault="00C775B2"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b/>
                <w:bCs/>
                <w:color w:val="323842"/>
                <w:sz w:val="20"/>
                <w:szCs w:val="20"/>
                <w:lang w:eastAsia="uk-UA"/>
              </w:rPr>
              <w:t>інші витрати за необмінними операціями</w:t>
            </w:r>
          </w:p>
        </w:tc>
        <w:tc>
          <w:tcPr>
            <w:tcW w:w="144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56A79244" w14:textId="77777777" w:rsidR="00C775B2" w:rsidRPr="002C4941" w:rsidRDefault="00C775B2" w:rsidP="00E8353A">
            <w:pPr>
              <w:spacing w:after="0" w:line="240" w:lineRule="auto"/>
              <w:jc w:val="center"/>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b/>
                <w:bCs/>
                <w:color w:val="323842"/>
                <w:sz w:val="20"/>
                <w:szCs w:val="20"/>
                <w:lang w:eastAsia="uk-UA"/>
              </w:rPr>
              <w:t>940</w:t>
            </w:r>
          </w:p>
        </w:tc>
        <w:tc>
          <w:tcPr>
            <w:tcW w:w="495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75A31DC1" w14:textId="70D80D86" w:rsidR="00C775B2" w:rsidRPr="002C4941" w:rsidRDefault="008C7C94"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b/>
                <w:bCs/>
                <w:color w:val="323842"/>
                <w:sz w:val="20"/>
                <w:szCs w:val="20"/>
                <w:lang w:eastAsia="uk-UA"/>
              </w:rPr>
              <w:t>заповнюється</w:t>
            </w:r>
            <w:r w:rsidRPr="002C4941">
              <w:rPr>
                <w:rFonts w:ascii="Times New Roman" w:eastAsia="Times New Roman" w:hAnsi="Times New Roman" w:cs="Times New Roman"/>
                <w:color w:val="323842"/>
                <w:sz w:val="20"/>
                <w:szCs w:val="20"/>
                <w:lang w:eastAsia="uk-UA"/>
              </w:rPr>
              <w:t xml:space="preserve"> </w:t>
            </w:r>
            <w:r w:rsidR="00C775B2" w:rsidRPr="002C4941">
              <w:rPr>
                <w:rFonts w:ascii="Times New Roman" w:eastAsia="Times New Roman" w:hAnsi="Times New Roman" w:cs="Times New Roman"/>
                <w:b/>
                <w:bCs/>
                <w:color w:val="323842"/>
                <w:sz w:val="20"/>
                <w:szCs w:val="20"/>
                <w:lang w:eastAsia="uk-UA"/>
              </w:rPr>
              <w:t>на основі даних субрахунку 8511 «Витрати за необмінними операціями»</w:t>
            </w:r>
          </w:p>
        </w:tc>
      </w:tr>
      <w:tr w:rsidR="00C775B2" w:rsidRPr="002C4941" w14:paraId="16548363" w14:textId="77777777" w:rsidTr="00E8353A">
        <w:trPr>
          <w:trHeight w:val="20"/>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1F942DA4" w14:textId="77777777" w:rsidR="00C775B2" w:rsidRPr="002C4941" w:rsidRDefault="00C775B2"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з них:</w:t>
            </w:r>
          </w:p>
        </w:tc>
        <w:tc>
          <w:tcPr>
            <w:tcW w:w="144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12A7A321" w14:textId="77777777" w:rsidR="00C775B2" w:rsidRPr="002C4941" w:rsidRDefault="00C775B2" w:rsidP="00E8353A">
            <w:pPr>
              <w:spacing w:after="0" w:line="240" w:lineRule="auto"/>
              <w:jc w:val="center"/>
              <w:rPr>
                <w:rFonts w:ascii="Times New Roman" w:eastAsia="Times New Roman" w:hAnsi="Times New Roman" w:cs="Times New Roman"/>
                <w:color w:val="323842"/>
                <w:sz w:val="20"/>
                <w:szCs w:val="20"/>
                <w:lang w:eastAsia="uk-UA"/>
              </w:rPr>
            </w:pPr>
          </w:p>
        </w:tc>
        <w:tc>
          <w:tcPr>
            <w:tcW w:w="495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4429E575" w14:textId="77777777" w:rsidR="00C775B2" w:rsidRPr="002C4941" w:rsidRDefault="00C775B2" w:rsidP="00E8353A">
            <w:pPr>
              <w:spacing w:after="0" w:line="240" w:lineRule="auto"/>
              <w:jc w:val="both"/>
              <w:rPr>
                <w:rFonts w:ascii="Times New Roman" w:eastAsia="Times New Roman" w:hAnsi="Times New Roman" w:cs="Times New Roman"/>
                <w:color w:val="323842"/>
                <w:sz w:val="20"/>
                <w:szCs w:val="20"/>
                <w:lang w:eastAsia="uk-UA"/>
              </w:rPr>
            </w:pPr>
          </w:p>
        </w:tc>
      </w:tr>
      <w:tr w:rsidR="00C775B2" w:rsidRPr="002C4941" w14:paraId="35D5CFF2" w14:textId="77777777" w:rsidTr="00E8353A">
        <w:trPr>
          <w:trHeight w:val="20"/>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43412430" w14:textId="77777777" w:rsidR="00C775B2" w:rsidRPr="002C4941" w:rsidRDefault="00C775B2"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витрати, пов'язані з передачею активів, що суб'єкти державного сектору передають суб'єктам господарювання, фізичним особам та іншим суб'єктам державного сектору для виконання цільових заходів</w:t>
            </w:r>
          </w:p>
        </w:tc>
        <w:tc>
          <w:tcPr>
            <w:tcW w:w="144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35161A42" w14:textId="77777777" w:rsidR="00C775B2" w:rsidRPr="002C4941" w:rsidRDefault="00C775B2" w:rsidP="00E8353A">
            <w:pPr>
              <w:spacing w:after="0" w:line="240" w:lineRule="auto"/>
              <w:jc w:val="center"/>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941</w:t>
            </w:r>
          </w:p>
        </w:tc>
        <w:tc>
          <w:tcPr>
            <w:tcW w:w="495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2BFA2122" w14:textId="6D3D0BCB" w:rsidR="00C775B2" w:rsidRPr="002C4941" w:rsidRDefault="008C7C94"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 xml:space="preserve">заповнюється </w:t>
            </w:r>
            <w:r w:rsidR="00C775B2" w:rsidRPr="002C4941">
              <w:rPr>
                <w:rFonts w:ascii="Times New Roman" w:eastAsia="Times New Roman" w:hAnsi="Times New Roman" w:cs="Times New Roman"/>
                <w:color w:val="323842"/>
                <w:sz w:val="20"/>
                <w:szCs w:val="20"/>
                <w:lang w:eastAsia="uk-UA"/>
              </w:rPr>
              <w:t>на основі даних субрахунку 8511 «Витрати за необмінними операціями»</w:t>
            </w:r>
          </w:p>
        </w:tc>
      </w:tr>
      <w:tr w:rsidR="00C775B2" w:rsidRPr="002C4941" w14:paraId="71DA7BD4" w14:textId="77777777" w:rsidTr="00E8353A">
        <w:trPr>
          <w:trHeight w:val="20"/>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66975266" w14:textId="77777777" w:rsidR="00C775B2" w:rsidRPr="002C4941" w:rsidRDefault="00C775B2"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lastRenderedPageBreak/>
              <w:t>неповернення депозитів</w:t>
            </w:r>
          </w:p>
        </w:tc>
        <w:tc>
          <w:tcPr>
            <w:tcW w:w="144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56410AF0" w14:textId="77777777" w:rsidR="00C775B2" w:rsidRPr="002C4941" w:rsidRDefault="00C775B2" w:rsidP="00E8353A">
            <w:pPr>
              <w:spacing w:after="0" w:line="240" w:lineRule="auto"/>
              <w:jc w:val="center"/>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942</w:t>
            </w:r>
          </w:p>
        </w:tc>
        <w:tc>
          <w:tcPr>
            <w:tcW w:w="495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184D8B02" w14:textId="1649A91A" w:rsidR="00C775B2" w:rsidRPr="002C4941" w:rsidRDefault="009C0BDD"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заповнюється</w:t>
            </w:r>
            <w:r w:rsidR="008C7C94" w:rsidRPr="002C4941">
              <w:rPr>
                <w:rFonts w:ascii="Times New Roman" w:eastAsia="Times New Roman" w:hAnsi="Times New Roman" w:cs="Times New Roman"/>
                <w:color w:val="323842"/>
                <w:sz w:val="20"/>
                <w:szCs w:val="20"/>
                <w:lang w:eastAsia="uk-UA"/>
              </w:rPr>
              <w:t xml:space="preserve"> </w:t>
            </w:r>
            <w:r w:rsidR="00C775B2" w:rsidRPr="002C4941">
              <w:rPr>
                <w:rFonts w:ascii="Times New Roman" w:eastAsia="Times New Roman" w:hAnsi="Times New Roman" w:cs="Times New Roman"/>
                <w:color w:val="323842"/>
                <w:sz w:val="20"/>
                <w:szCs w:val="20"/>
                <w:lang w:eastAsia="uk-UA"/>
              </w:rPr>
              <w:t>на основі даних субрахунку 8511 «Витрати за необмінними операціями»</w:t>
            </w:r>
          </w:p>
        </w:tc>
      </w:tr>
      <w:tr w:rsidR="00C775B2" w:rsidRPr="002C4941" w14:paraId="2164A270" w14:textId="77777777" w:rsidTr="00E8353A">
        <w:trPr>
          <w:trHeight w:val="20"/>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65CD6561" w14:textId="77777777" w:rsidR="00C775B2" w:rsidRPr="002C4941" w:rsidRDefault="00C775B2"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b/>
                <w:bCs/>
                <w:color w:val="323842"/>
                <w:sz w:val="20"/>
                <w:szCs w:val="20"/>
                <w:lang w:eastAsia="uk-UA"/>
              </w:rPr>
              <w:t>Додаткові рядки:</w:t>
            </w:r>
          </w:p>
        </w:tc>
        <w:tc>
          <w:tcPr>
            <w:tcW w:w="144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13B733B3" w14:textId="77777777" w:rsidR="00C775B2" w:rsidRPr="002C4941" w:rsidRDefault="00C775B2" w:rsidP="00E8353A">
            <w:pPr>
              <w:spacing w:after="0" w:line="240" w:lineRule="auto"/>
              <w:jc w:val="center"/>
              <w:rPr>
                <w:rFonts w:ascii="Times New Roman" w:eastAsia="Times New Roman" w:hAnsi="Times New Roman" w:cs="Times New Roman"/>
                <w:color w:val="323842"/>
                <w:sz w:val="20"/>
                <w:szCs w:val="20"/>
                <w:lang w:eastAsia="uk-UA"/>
              </w:rPr>
            </w:pPr>
          </w:p>
        </w:tc>
        <w:tc>
          <w:tcPr>
            <w:tcW w:w="495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76471E5C" w14:textId="77777777" w:rsidR="00C775B2" w:rsidRPr="002C4941" w:rsidRDefault="00C775B2" w:rsidP="00E8353A">
            <w:pPr>
              <w:spacing w:after="0" w:line="240" w:lineRule="auto"/>
              <w:jc w:val="both"/>
              <w:rPr>
                <w:rFonts w:ascii="Times New Roman" w:eastAsia="Times New Roman" w:hAnsi="Times New Roman" w:cs="Times New Roman"/>
                <w:color w:val="323842"/>
                <w:sz w:val="20"/>
                <w:szCs w:val="20"/>
                <w:lang w:eastAsia="uk-UA"/>
              </w:rPr>
            </w:pPr>
          </w:p>
        </w:tc>
      </w:tr>
      <w:tr w:rsidR="00C775B2" w:rsidRPr="002C4941" w14:paraId="1EE94F96" w14:textId="77777777" w:rsidTr="00E8353A">
        <w:trPr>
          <w:trHeight w:val="20"/>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2CB875A2" w14:textId="77777777" w:rsidR="00C775B2" w:rsidRPr="002C4941" w:rsidRDefault="00C775B2"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сума отриманих активів, робіт, послуг у натуральній формі</w:t>
            </w:r>
          </w:p>
        </w:tc>
        <w:tc>
          <w:tcPr>
            <w:tcW w:w="144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3B85A49D" w14:textId="77777777" w:rsidR="00C775B2" w:rsidRPr="002C4941" w:rsidRDefault="00C775B2" w:rsidP="00E8353A">
            <w:pPr>
              <w:spacing w:after="0" w:line="240" w:lineRule="auto"/>
              <w:jc w:val="center"/>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950</w:t>
            </w:r>
          </w:p>
        </w:tc>
        <w:tc>
          <w:tcPr>
            <w:tcW w:w="495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1108EFEF" w14:textId="10A09020" w:rsidR="00C775B2" w:rsidRPr="002C4941" w:rsidRDefault="009C0BDD"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заповнюється</w:t>
            </w:r>
            <w:r w:rsidR="008C7C94" w:rsidRPr="002C4941">
              <w:rPr>
                <w:rFonts w:ascii="Times New Roman" w:eastAsia="Times New Roman" w:hAnsi="Times New Roman" w:cs="Times New Roman"/>
                <w:color w:val="323842"/>
                <w:sz w:val="20"/>
                <w:szCs w:val="20"/>
                <w:lang w:eastAsia="uk-UA"/>
              </w:rPr>
              <w:t xml:space="preserve"> </w:t>
            </w:r>
            <w:r w:rsidR="00C775B2" w:rsidRPr="002C4941">
              <w:rPr>
                <w:rFonts w:ascii="Times New Roman" w:eastAsia="Times New Roman" w:hAnsi="Times New Roman" w:cs="Times New Roman"/>
                <w:color w:val="323842"/>
                <w:sz w:val="20"/>
                <w:szCs w:val="20"/>
                <w:lang w:eastAsia="uk-UA"/>
              </w:rPr>
              <w:t>на основі даних субрахунку 7511 «Доходи за необмінними операціями»</w:t>
            </w:r>
          </w:p>
        </w:tc>
      </w:tr>
      <w:tr w:rsidR="00C775B2" w:rsidRPr="002C4941" w14:paraId="5C63A84B" w14:textId="77777777" w:rsidTr="00E8353A">
        <w:trPr>
          <w:trHeight w:val="20"/>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779EE3F6" w14:textId="77777777" w:rsidR="00C775B2" w:rsidRPr="002C4941" w:rsidRDefault="00C775B2"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 xml:space="preserve">Сума </w:t>
            </w:r>
            <w:bookmarkStart w:id="0" w:name="_GoBack"/>
            <w:bookmarkEnd w:id="0"/>
            <w:r w:rsidRPr="002C4941">
              <w:rPr>
                <w:rFonts w:ascii="Times New Roman" w:eastAsia="Times New Roman" w:hAnsi="Times New Roman" w:cs="Times New Roman"/>
                <w:color w:val="323842"/>
                <w:sz w:val="20"/>
                <w:szCs w:val="20"/>
                <w:lang w:eastAsia="uk-UA"/>
              </w:rPr>
              <w:t>витрат, визнаних у зв’язку з недотриманням раніше визначених доходів</w:t>
            </w:r>
          </w:p>
        </w:tc>
        <w:tc>
          <w:tcPr>
            <w:tcW w:w="144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259C5698" w14:textId="77777777" w:rsidR="00C775B2" w:rsidRPr="002C4941" w:rsidRDefault="00C775B2" w:rsidP="00E8353A">
            <w:pPr>
              <w:spacing w:after="0" w:line="240" w:lineRule="auto"/>
              <w:jc w:val="center"/>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960</w:t>
            </w:r>
          </w:p>
        </w:tc>
        <w:tc>
          <w:tcPr>
            <w:tcW w:w="495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79B2D35E" w14:textId="23B31EF6" w:rsidR="00C775B2" w:rsidRPr="002C4941" w:rsidRDefault="009C0BDD"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заповнюється</w:t>
            </w:r>
            <w:r w:rsidR="008C7C94" w:rsidRPr="002C4941">
              <w:rPr>
                <w:rFonts w:ascii="Times New Roman" w:eastAsia="Times New Roman" w:hAnsi="Times New Roman" w:cs="Times New Roman"/>
                <w:color w:val="323842"/>
                <w:sz w:val="20"/>
                <w:szCs w:val="20"/>
                <w:lang w:eastAsia="uk-UA"/>
              </w:rPr>
              <w:t xml:space="preserve"> </w:t>
            </w:r>
            <w:r w:rsidR="00C775B2" w:rsidRPr="002C4941">
              <w:rPr>
                <w:rFonts w:ascii="Times New Roman" w:eastAsia="Times New Roman" w:hAnsi="Times New Roman" w:cs="Times New Roman"/>
                <w:color w:val="323842"/>
                <w:sz w:val="20"/>
                <w:szCs w:val="20"/>
                <w:lang w:eastAsia="uk-UA"/>
              </w:rPr>
              <w:t>на основі даних субрахунку 8411 «Інші витрати за обмінними операціями»</w:t>
            </w:r>
          </w:p>
        </w:tc>
      </w:tr>
      <w:tr w:rsidR="00C775B2" w:rsidRPr="00E8353A" w14:paraId="7FD12F00" w14:textId="77777777" w:rsidTr="00E8353A">
        <w:trPr>
          <w:trHeight w:val="20"/>
        </w:trPr>
        <w:tc>
          <w:tcPr>
            <w:tcW w:w="0" w:type="auto"/>
            <w:gridSpan w:val="3"/>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14:paraId="763C3BDB" w14:textId="47080CB5" w:rsidR="00C775B2" w:rsidRPr="00E8353A" w:rsidRDefault="00C775B2" w:rsidP="00E8353A">
            <w:pPr>
              <w:spacing w:after="0" w:line="240" w:lineRule="auto"/>
              <w:jc w:val="both"/>
              <w:rPr>
                <w:rFonts w:ascii="Times New Roman" w:eastAsia="Times New Roman" w:hAnsi="Times New Roman" w:cs="Times New Roman"/>
                <w:color w:val="323842"/>
                <w:sz w:val="20"/>
                <w:szCs w:val="20"/>
                <w:lang w:eastAsia="uk-UA"/>
              </w:rPr>
            </w:pPr>
            <w:r w:rsidRPr="002C4941">
              <w:rPr>
                <w:rFonts w:ascii="Times New Roman" w:eastAsia="Times New Roman" w:hAnsi="Times New Roman" w:cs="Times New Roman"/>
                <w:color w:val="323842"/>
                <w:sz w:val="20"/>
                <w:szCs w:val="20"/>
                <w:lang w:eastAsia="uk-UA"/>
              </w:rPr>
              <w:t xml:space="preserve">* </w:t>
            </w:r>
            <w:r w:rsidRPr="002C4941">
              <w:rPr>
                <w:rFonts w:ascii="Times New Roman" w:eastAsia="Times New Roman" w:hAnsi="Times New Roman" w:cs="Times New Roman"/>
                <w:b/>
                <w:bCs/>
                <w:color w:val="323842"/>
                <w:sz w:val="20"/>
                <w:szCs w:val="20"/>
                <w:lang w:eastAsia="uk-UA"/>
              </w:rPr>
              <w:t>Роз’яснення ДКСУ</w:t>
            </w:r>
            <w:r w:rsidRPr="002C4941">
              <w:rPr>
                <w:rFonts w:ascii="Times New Roman" w:eastAsia="Times New Roman" w:hAnsi="Times New Roman" w:cs="Times New Roman"/>
                <w:color w:val="323842"/>
                <w:sz w:val="20"/>
                <w:szCs w:val="20"/>
                <w:lang w:eastAsia="uk-UA"/>
              </w:rPr>
              <w:t xml:space="preserve"> – Методологічні роз’яснення проблемних питань складання та подання фінансової звітності розпорядниками бюджетних коштів відповідно до НП(С)БОДС 101 «Подання фінансової звітності» та перспективи подання клієнтами Казначейства звітності в електронному вигляді. Знайти їх можна на </w:t>
            </w:r>
            <w:hyperlink r:id="rId22" w:tgtFrame="_blank" w:history="1">
              <w:r w:rsidRPr="002C4941">
                <w:rPr>
                  <w:rFonts w:ascii="Times New Roman" w:eastAsia="Times New Roman" w:hAnsi="Times New Roman" w:cs="Times New Roman"/>
                  <w:color w:val="0000FF"/>
                  <w:sz w:val="20"/>
                  <w:szCs w:val="20"/>
                  <w:u w:val="single"/>
                  <w:lang w:eastAsia="uk-UA"/>
                </w:rPr>
                <w:t>сайті Казначейства</w:t>
              </w:r>
            </w:hyperlink>
          </w:p>
        </w:tc>
      </w:tr>
    </w:tbl>
    <w:p w14:paraId="17050951" w14:textId="77777777" w:rsidR="00C40F39" w:rsidRPr="00E8353A" w:rsidRDefault="00C40F39" w:rsidP="00E8353A">
      <w:pPr>
        <w:spacing w:after="0" w:line="240" w:lineRule="auto"/>
        <w:jc w:val="both"/>
        <w:rPr>
          <w:rFonts w:ascii="Times New Roman" w:hAnsi="Times New Roman" w:cs="Times New Roman"/>
        </w:rPr>
      </w:pPr>
    </w:p>
    <w:sectPr w:rsidR="00C40F39" w:rsidRPr="00E8353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0101A"/>
    <w:multiLevelType w:val="multilevel"/>
    <w:tmpl w:val="E9483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554628"/>
    <w:multiLevelType w:val="multilevel"/>
    <w:tmpl w:val="56822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DD1D6A"/>
    <w:multiLevelType w:val="multilevel"/>
    <w:tmpl w:val="5EAA0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0B3F15"/>
    <w:multiLevelType w:val="multilevel"/>
    <w:tmpl w:val="76005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470DF5"/>
    <w:multiLevelType w:val="multilevel"/>
    <w:tmpl w:val="23A00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7B5E9E"/>
    <w:multiLevelType w:val="multilevel"/>
    <w:tmpl w:val="2AC8A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3359F7"/>
    <w:multiLevelType w:val="multilevel"/>
    <w:tmpl w:val="2026A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A27715"/>
    <w:multiLevelType w:val="multilevel"/>
    <w:tmpl w:val="430C7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5"/>
  </w:num>
  <w:num w:numId="4">
    <w:abstractNumId w:val="4"/>
  </w:num>
  <w:num w:numId="5">
    <w:abstractNumId w:val="7"/>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5B2"/>
    <w:rsid w:val="000B3898"/>
    <w:rsid w:val="00112484"/>
    <w:rsid w:val="00126BA9"/>
    <w:rsid w:val="002C1C77"/>
    <w:rsid w:val="002C4941"/>
    <w:rsid w:val="005B4A7A"/>
    <w:rsid w:val="00606014"/>
    <w:rsid w:val="00624267"/>
    <w:rsid w:val="00711A94"/>
    <w:rsid w:val="00875D40"/>
    <w:rsid w:val="008C3401"/>
    <w:rsid w:val="008C7C94"/>
    <w:rsid w:val="009C0BDD"/>
    <w:rsid w:val="00C40F39"/>
    <w:rsid w:val="00C775B2"/>
    <w:rsid w:val="00D7620A"/>
    <w:rsid w:val="00DF66E4"/>
    <w:rsid w:val="00E8353A"/>
    <w:rsid w:val="00F266D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7FE36"/>
  <w15:chartTrackingRefBased/>
  <w15:docId w15:val="{CD637E68-231A-4CFD-9E32-FBDABB1F4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link w:val="20"/>
    <w:uiPriority w:val="9"/>
    <w:qFormat/>
    <w:rsid w:val="00C775B2"/>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775B2"/>
    <w:rPr>
      <w:rFonts w:ascii="Times New Roman" w:eastAsia="Times New Roman" w:hAnsi="Times New Roman" w:cs="Times New Roman"/>
      <w:b/>
      <w:bCs/>
      <w:sz w:val="36"/>
      <w:szCs w:val="36"/>
      <w:lang w:eastAsia="uk-UA"/>
    </w:rPr>
  </w:style>
  <w:style w:type="character" w:styleId="a3">
    <w:name w:val="Hyperlink"/>
    <w:basedOn w:val="a0"/>
    <w:uiPriority w:val="99"/>
    <w:unhideWhenUsed/>
    <w:rsid w:val="00C775B2"/>
    <w:rPr>
      <w:color w:val="0000FF"/>
      <w:u w:val="single"/>
    </w:rPr>
  </w:style>
  <w:style w:type="character" w:customStyle="1" w:styleId="linktofileinfo">
    <w:name w:val="linktofile__info"/>
    <w:basedOn w:val="a0"/>
    <w:rsid w:val="00C775B2"/>
  </w:style>
  <w:style w:type="paragraph" w:styleId="a4">
    <w:name w:val="Normal (Web)"/>
    <w:basedOn w:val="a"/>
    <w:uiPriority w:val="99"/>
    <w:semiHidden/>
    <w:unhideWhenUsed/>
    <w:rsid w:val="00C775B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Strong"/>
    <w:basedOn w:val="a0"/>
    <w:uiPriority w:val="22"/>
    <w:qFormat/>
    <w:rsid w:val="00C775B2"/>
    <w:rPr>
      <w:b/>
      <w:bCs/>
    </w:rPr>
  </w:style>
  <w:style w:type="character" w:styleId="a6">
    <w:name w:val="Emphasis"/>
    <w:basedOn w:val="a0"/>
    <w:uiPriority w:val="20"/>
    <w:qFormat/>
    <w:rsid w:val="00C775B2"/>
    <w:rPr>
      <w:i/>
      <w:iCs/>
    </w:rPr>
  </w:style>
  <w:style w:type="character" w:styleId="a7">
    <w:name w:val="Unresolved Mention"/>
    <w:basedOn w:val="a0"/>
    <w:uiPriority w:val="99"/>
    <w:semiHidden/>
    <w:unhideWhenUsed/>
    <w:rsid w:val="00112484"/>
    <w:rPr>
      <w:color w:val="605E5C"/>
      <w:shd w:val="clear" w:color="auto" w:fill="E1DFDD"/>
    </w:rPr>
  </w:style>
  <w:style w:type="character" w:styleId="a8">
    <w:name w:val="FollowedHyperlink"/>
    <w:basedOn w:val="a0"/>
    <w:uiPriority w:val="99"/>
    <w:semiHidden/>
    <w:unhideWhenUsed/>
    <w:rsid w:val="00711A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317073">
      <w:bodyDiv w:val="1"/>
      <w:marLeft w:val="0"/>
      <w:marRight w:val="0"/>
      <w:marTop w:val="0"/>
      <w:marBottom w:val="0"/>
      <w:divBdr>
        <w:top w:val="none" w:sz="0" w:space="0" w:color="auto"/>
        <w:left w:val="none" w:sz="0" w:space="0" w:color="auto"/>
        <w:bottom w:val="none" w:sz="0" w:space="0" w:color="auto"/>
        <w:right w:val="none" w:sz="0" w:space="0" w:color="auto"/>
      </w:divBdr>
      <w:divsChild>
        <w:div w:id="1257011829">
          <w:marLeft w:val="0"/>
          <w:marRight w:val="0"/>
          <w:marTop w:val="0"/>
          <w:marBottom w:val="0"/>
          <w:divBdr>
            <w:top w:val="single" w:sz="18" w:space="23" w:color="A0A0A0"/>
            <w:left w:val="single" w:sz="18" w:space="23" w:color="A0A0A0"/>
            <w:bottom w:val="single" w:sz="18" w:space="23" w:color="A0A0A0"/>
            <w:right w:val="single" w:sz="18" w:space="23" w:color="A0A0A0"/>
          </w:divBdr>
          <w:divsChild>
            <w:div w:id="1483279333">
              <w:marLeft w:val="0"/>
              <w:marRight w:val="0"/>
              <w:marTop w:val="0"/>
              <w:marBottom w:val="0"/>
              <w:divBdr>
                <w:top w:val="none" w:sz="0" w:space="0" w:color="auto"/>
                <w:left w:val="none" w:sz="0" w:space="0" w:color="auto"/>
                <w:bottom w:val="none" w:sz="0" w:space="0" w:color="auto"/>
                <w:right w:val="none" w:sz="0" w:space="0" w:color="auto"/>
              </w:divBdr>
              <w:divsChild>
                <w:div w:id="155635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1017-10" TargetMode="External"/><Relationship Id="rId13" Type="http://schemas.openxmlformats.org/officeDocument/2006/relationships/hyperlink" Target="https://oblikbudget.com.ua/article/385-zalishkova-vartst-shcho-ma-znati-buhgalter" TargetMode="External"/><Relationship Id="rId18" Type="http://schemas.openxmlformats.org/officeDocument/2006/relationships/hyperlink" Target="https://zakon.rada.gov.ua/laws/show/z1018-10" TargetMode="External"/><Relationship Id="rId3" Type="http://schemas.openxmlformats.org/officeDocument/2006/relationships/customXml" Target="../customXml/item3.xml"/><Relationship Id="rId21" Type="http://schemas.openxmlformats.org/officeDocument/2006/relationships/hyperlink" Target="https://zakon.rada.gov.ua/laws/show/z0903-12" TargetMode="External"/><Relationship Id="rId7" Type="http://schemas.openxmlformats.org/officeDocument/2006/relationships/webSettings" Target="webSettings.xml"/><Relationship Id="rId12" Type="http://schemas.openxmlformats.org/officeDocument/2006/relationships/hyperlink" Target="https://oblikbudget.com.ua/article/318-balans-forma-1-ds---ekspertniy-zrazok" TargetMode="External"/><Relationship Id="rId17" Type="http://schemas.openxmlformats.org/officeDocument/2006/relationships/hyperlink" Target="https://oblikbudget.com.ua/article/384-oblk-nemateralnih-aktivv" TargetMode="External"/><Relationship Id="rId2" Type="http://schemas.openxmlformats.org/officeDocument/2006/relationships/customXml" Target="../customXml/item2.xml"/><Relationship Id="rId16" Type="http://schemas.openxmlformats.org/officeDocument/2006/relationships/hyperlink" Target="https://zakon.rada.gov.ua/rada/show/v0011201-15" TargetMode="External"/><Relationship Id="rId20" Type="http://schemas.openxmlformats.org/officeDocument/2006/relationships/hyperlink" Target="https://zakon.rada.gov.ua/laws/show/z1019-1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zakon.rada.gov.ua/rada/show/v0011201-15"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zakon.rada.gov.ua/rada/show/v0011201-15" TargetMode="External"/><Relationship Id="rId23" Type="http://schemas.openxmlformats.org/officeDocument/2006/relationships/fontTable" Target="fontTable.xml"/><Relationship Id="rId10" Type="http://schemas.openxmlformats.org/officeDocument/2006/relationships/hyperlink" Target="https://zakon.rada.gov.ua/rada/show/v0011201-15" TargetMode="External"/><Relationship Id="rId19" Type="http://schemas.openxmlformats.org/officeDocument/2006/relationships/hyperlink" Target="https://zakon.rada.gov.ua/laws/show/z1019-10" TargetMode="External"/><Relationship Id="rId4" Type="http://schemas.openxmlformats.org/officeDocument/2006/relationships/numbering" Target="numbering.xml"/><Relationship Id="rId9" Type="http://schemas.openxmlformats.org/officeDocument/2006/relationships/hyperlink" Target="https://zakon.rada.gov.ua/laws/show/z0092-11" TargetMode="External"/><Relationship Id="rId14" Type="http://schemas.openxmlformats.org/officeDocument/2006/relationships/hyperlink" Target="https://zakon.rada.gov.ua/laws/show/2755-17/ed20241001" TargetMode="External"/><Relationship Id="rId22" Type="http://schemas.openxmlformats.org/officeDocument/2006/relationships/hyperlink" Target="https://www.treasury.gov.ua/news/do-uvagi-klientiv-organiv-kaznacheystv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44f564d2-6769-42a0-955e-97d60374914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FE6C1947A8452145932926F460A02271" ma:contentTypeVersion="10" ma:contentTypeDescription="Створення нового документа." ma:contentTypeScope="" ma:versionID="344160f8d66e674f97eeb0e8edd2c7a7">
  <xsd:schema xmlns:xsd="http://www.w3.org/2001/XMLSchema" xmlns:xs="http://www.w3.org/2001/XMLSchema" xmlns:p="http://schemas.microsoft.com/office/2006/metadata/properties" xmlns:ns3="44f564d2-6769-42a0-955e-97d60374914b" targetNamespace="http://schemas.microsoft.com/office/2006/metadata/properties" ma:root="true" ma:fieldsID="20ad0aab05a4112d40fb17e9a7e2933b" ns3:_="">
    <xsd:import namespace="44f564d2-6769-42a0-955e-97d60374914b"/>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f564d2-6769-42a0-955e-97d60374914b"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5D31EF-7177-443F-B5F9-2A9BCC97FEBE}">
  <ds:schemaRefs>
    <ds:schemaRef ds:uri="http://schemas.microsoft.com/sharepoint/v3/contenttype/forms"/>
  </ds:schemaRefs>
</ds:datastoreItem>
</file>

<file path=customXml/itemProps2.xml><?xml version="1.0" encoding="utf-8"?>
<ds:datastoreItem xmlns:ds="http://schemas.openxmlformats.org/officeDocument/2006/customXml" ds:itemID="{97315F7E-013D-45D1-9191-3F78965A5A2E}">
  <ds:schemaRefs>
    <ds:schemaRef ds:uri="http://purl.org/dc/terms/"/>
    <ds:schemaRef ds:uri="http://www.w3.org/XML/1998/namespace"/>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44f564d2-6769-42a0-955e-97d60374914b"/>
    <ds:schemaRef ds:uri="http://purl.org/dc/dcmitype/"/>
  </ds:schemaRefs>
</ds:datastoreItem>
</file>

<file path=customXml/itemProps3.xml><?xml version="1.0" encoding="utf-8"?>
<ds:datastoreItem xmlns:ds="http://schemas.openxmlformats.org/officeDocument/2006/customXml" ds:itemID="{F79674C3-261F-4795-875C-B39E831E3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f564d2-6769-42a0-955e-97d6037491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12863</Words>
  <Characters>7333</Characters>
  <Application>Microsoft Office Word</Application>
  <DocSecurity>0</DocSecurity>
  <Lines>61</Lines>
  <Paragraphs>40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Ярослава Шевченко</dc:creator>
  <cp:keywords/>
  <dc:description/>
  <cp:lastModifiedBy>Ярослава Шевченко</cp:lastModifiedBy>
  <cp:revision>2</cp:revision>
  <dcterms:created xsi:type="dcterms:W3CDTF">2024-12-05T13:14:00Z</dcterms:created>
  <dcterms:modified xsi:type="dcterms:W3CDTF">2024-12-05T13:14:00Z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0x010100FE6C1947A8452145932926F460A02271</vt:lpwstr>
  </property>
</Properties>
</file>