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37" w:rsidRPr="00FB5D7D" w:rsidRDefault="00F60937" w:rsidP="00313EB1">
      <w:pPr>
        <w:pStyle w:val="Ch66"/>
        <w:tabs>
          <w:tab w:val="clear" w:pos="7427"/>
          <w:tab w:val="right" w:pos="11180"/>
        </w:tabs>
        <w:ind w:left="9498"/>
        <w:rPr>
          <w:rFonts w:ascii="Times New Roman" w:hAnsi="Times New Roman" w:cs="Times New Roman"/>
          <w:b w:val="0"/>
          <w:w w:val="100"/>
          <w:sz w:val="24"/>
          <w:szCs w:val="24"/>
        </w:rPr>
      </w:pPr>
      <w:bookmarkStart w:id="0" w:name="_GoBack"/>
      <w:bookmarkEnd w:id="0"/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Додаток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2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br/>
        <w:t>до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Порядку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обміну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електронними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документами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br/>
        <w:t>між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Міністерством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фінансів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України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br/>
        <w:t>та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учасниками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бюджетного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процесу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="00313EB1">
        <w:rPr>
          <w:rFonts w:ascii="Times New Roman" w:hAnsi="Times New Roman" w:cs="Times New Roman"/>
          <w:b w:val="0"/>
          <w:w w:val="100"/>
          <w:sz w:val="24"/>
          <w:szCs w:val="24"/>
        </w:rPr>
        <w:br/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на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місцевому</w:t>
      </w:r>
      <w:r w:rsidR="00192CA2"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рівні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br/>
        <w:t>(</w:t>
      </w:r>
      <w:r w:rsidR="00942A91"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пункт 10 розділу </w:t>
      </w:r>
      <w:r w:rsidR="00942A91">
        <w:rPr>
          <w:rFonts w:ascii="Times New Roman" w:hAnsi="Times New Roman" w:cs="Times New Roman"/>
          <w:b w:val="0"/>
          <w:w w:val="100"/>
          <w:sz w:val="24"/>
          <w:szCs w:val="24"/>
          <w:lang w:val="en-US"/>
        </w:rPr>
        <w:t>II</w:t>
      </w:r>
      <w:r w:rsidRPr="00FB5D7D">
        <w:rPr>
          <w:rFonts w:ascii="Times New Roman" w:hAnsi="Times New Roman" w:cs="Times New Roman"/>
          <w:b w:val="0"/>
          <w:w w:val="100"/>
          <w:sz w:val="24"/>
          <w:szCs w:val="24"/>
        </w:rPr>
        <w:t>)</w:t>
      </w:r>
    </w:p>
    <w:p w:rsidR="00F60937" w:rsidRPr="00313EB1" w:rsidRDefault="00F60937">
      <w:pPr>
        <w:pStyle w:val="Ch67"/>
        <w:rPr>
          <w:rFonts w:ascii="Times New Roman" w:hAnsi="Times New Roman" w:cs="Times New Roman"/>
          <w:w w:val="100"/>
          <w:sz w:val="28"/>
          <w:szCs w:val="28"/>
        </w:rPr>
      </w:pPr>
      <w:r w:rsidRPr="00313EB1">
        <w:rPr>
          <w:rFonts w:ascii="Times New Roman" w:hAnsi="Times New Roman" w:cs="Times New Roman"/>
          <w:w w:val="100"/>
          <w:sz w:val="28"/>
          <w:szCs w:val="28"/>
        </w:rPr>
        <w:t>Електронні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документи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типова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схема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br/>
        <w:t>підписання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електронних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документів,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які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передають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головні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розпорядники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відповідальні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виконавці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br/>
        <w:t>до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Міністерства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фінансів</w:t>
      </w:r>
      <w:r w:rsidR="00192CA2" w:rsidRPr="00313EB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3EB1">
        <w:rPr>
          <w:rFonts w:ascii="Times New Roman" w:hAnsi="Times New Roman" w:cs="Times New Roman"/>
          <w:w w:val="100"/>
          <w:sz w:val="28"/>
          <w:szCs w:val="28"/>
        </w:rPr>
        <w:t>України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776"/>
        <w:gridCol w:w="2012"/>
        <w:gridCol w:w="1791"/>
        <w:gridCol w:w="1640"/>
        <w:gridCol w:w="1788"/>
        <w:gridCol w:w="1864"/>
        <w:gridCol w:w="1715"/>
      </w:tblGrid>
      <w:tr w:rsidR="00F60937" w:rsidRPr="00FB5D7D" w:rsidTr="00942A91">
        <w:trPr>
          <w:trHeight w:val="113"/>
          <w:tblHeader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№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з/п</w:t>
            </w:r>
          </w:p>
        </w:tc>
        <w:tc>
          <w:tcPr>
            <w:tcW w:w="1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Найменування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інформації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в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LOGICA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REST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API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Регламент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надання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Місцевий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фінансовий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орган</w:t>
            </w:r>
          </w:p>
        </w:tc>
        <w:tc>
          <w:tcPr>
            <w:tcW w:w="1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Головний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розпорядник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коштів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або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відповідальний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виконавець</w:t>
            </w:r>
          </w:p>
        </w:tc>
      </w:tr>
      <w:tr w:rsidR="00F60937" w:rsidRPr="00FB5D7D" w:rsidTr="00942A91">
        <w:trPr>
          <w:trHeight w:val="113"/>
          <w:tblHeader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Кваліфікований/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підпис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керівника/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уповноваженої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особи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Кваліфікована/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удосконалена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електронна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печатка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Кваліфікований/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підпис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керівника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бухгалтерської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служби/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начальника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планово-фінансового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підрозділу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Кваліфікований/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електронний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підпис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керівника/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уповноваженої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особи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Кваліфікована/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удосконалена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електронна</w:t>
            </w:r>
            <w:r w:rsidR="00192CA2"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 </w:t>
            </w:r>
            <w:r w:rsidRPr="00FB5D7D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печатка</w:t>
            </w:r>
          </w:p>
        </w:tc>
      </w:tr>
      <w:tr w:rsidR="00F60937" w:rsidRPr="00FB5D7D" w:rsidTr="00942A91">
        <w:trPr>
          <w:trHeight w:val="113"/>
          <w:tblHeader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0937" w:rsidRPr="00FB5D7D" w:rsidRDefault="00F6093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B5D7D">
              <w:rPr>
                <w:rStyle w:val="Bold"/>
                <w:rFonts w:ascii="Times New Roman" w:hAnsi="Times New Roman" w:cs="Times New Roman"/>
                <w:b w:val="0"/>
                <w:w w:val="100"/>
                <w:sz w:val="20"/>
                <w:szCs w:val="20"/>
              </w:rPr>
              <w:t>8</w:t>
            </w: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пропозиція: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загальна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(Форма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БП-1),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індивідуальна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(Форма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БП-2),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додаткова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(Форма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БП-3)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942A91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0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серпня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запит: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загальний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(Форма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20__-1),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індивідуальний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(Форма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20__-2),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додатковий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(Форма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20__-3)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942A91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0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листопада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Паспорт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програми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місцевого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лютого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Паспорт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програми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місцевого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новій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редакції)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паспорта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паспорта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програми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942A91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0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березня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кошторис,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асигнувань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бюджету)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надходжень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видатків),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помісячний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розпису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Кошторис,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асигнувань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бюджету)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надходжень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видатків),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помісячний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після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розпису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кошторис,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асигнувань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бюджету)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надходжень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видатків),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зведений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помісячний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кошторис,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асигнувань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бюджету)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кредитів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винятком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надходжень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видатків),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уточнений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помісячний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використання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коштів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робочі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затвердження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середню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освіту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розрізі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освіти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приватних,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філій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опорних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шкіл,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інтернатного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типу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(спеціальні,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спеціалізовані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тощо))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березня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розрахункову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потребу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видатках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нарахуваннями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освіти,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приватних,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(загальний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станом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лютого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лютого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розрахункову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потребу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видатках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нарахуваннями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освіти,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приватних,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(загальний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фонд),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станом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вересня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вересня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нарахуваннями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працівників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загальної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середньої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освіти,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приватних,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поточному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році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(загальний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фонд)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Щомісяця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наступного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звітним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«Інформація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галузей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поточному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році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КЕКВ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2282,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2610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3210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галузями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«Освіта»,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«Охорона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здоров’я»,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«Культура»,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«Соціальний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захист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соціальне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забезпечення»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«Фізична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культура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спорт»)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Щомісяця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місяця,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наступного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звітним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60937" w:rsidRPr="00FB5D7D" w:rsidTr="00192CA2">
        <w:trPr>
          <w:trHeight w:val="11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ставки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зборів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податкових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пільг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сплати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зборів,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копії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прийнятих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встановлення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зборів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внесення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змін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таких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рішень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(лише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органів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місцевого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самоврядування)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0937" w:rsidRPr="00FB5D7D" w:rsidRDefault="00F6093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десятиденний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строк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прийняття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рішень,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але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пізніше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25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липня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року,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передує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бюджетному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періоду,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якому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планується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застосування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встановлених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зборів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податкових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пільг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зі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сплати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місцевих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податків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</w:t>
            </w:r>
            <w:r w:rsidR="00192CA2"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B5D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зборів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B5D7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B5D7D">
              <w:rPr>
                <w:rFonts w:ascii="Times New Roman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60937" w:rsidRPr="00FB5D7D" w:rsidRDefault="00F6093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F60937" w:rsidRPr="00192CA2" w:rsidRDefault="00F60937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F60937" w:rsidRDefault="00F60937">
      <w:pPr>
        <w:pStyle w:val="Ch66"/>
        <w:tabs>
          <w:tab w:val="clear" w:pos="7427"/>
          <w:tab w:val="right" w:pos="1120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192CA2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питань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цифрового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розвитку,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br/>
        <w:t>цифрових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трансформацій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і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192CA2">
        <w:rPr>
          <w:rFonts w:ascii="Times New Roman" w:hAnsi="Times New Roman" w:cs="Times New Roman"/>
          <w:w w:val="100"/>
          <w:sz w:val="24"/>
          <w:szCs w:val="24"/>
        </w:rPr>
        <w:t>цифровізації</w:t>
      </w:r>
      <w:proofErr w:type="spellEnd"/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Микола</w:t>
      </w:r>
      <w:r w:rsidR="00192C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92CA2">
        <w:rPr>
          <w:rFonts w:ascii="Times New Roman" w:hAnsi="Times New Roman" w:cs="Times New Roman"/>
          <w:w w:val="100"/>
          <w:sz w:val="24"/>
          <w:szCs w:val="24"/>
        </w:rPr>
        <w:t>МАТЮШЕНКО</w:t>
      </w:r>
    </w:p>
    <w:p w:rsidR="00942A91" w:rsidRDefault="00942A91" w:rsidP="00942A91">
      <w:pPr>
        <w:pStyle w:val="1"/>
        <w:rPr>
          <w:rFonts w:asciiTheme="minorHAnsi" w:hAnsiTheme="minorHAnsi"/>
        </w:rPr>
      </w:pPr>
    </w:p>
    <w:p w:rsidR="00942A91" w:rsidRDefault="00942A91" w:rsidP="00942A91">
      <w:pPr>
        <w:pStyle w:val="1"/>
        <w:rPr>
          <w:rFonts w:asciiTheme="minorHAnsi" w:hAnsiTheme="minorHAnsi"/>
        </w:rPr>
      </w:pPr>
    </w:p>
    <w:p w:rsidR="00942A91" w:rsidRDefault="00942A91" w:rsidP="00942A91">
      <w:pPr>
        <w:pStyle w:val="1"/>
        <w:rPr>
          <w:rStyle w:val="st46"/>
          <w:rFonts w:ascii="Times New Roman" w:hAnsi="Times New Roman" w:cs="Times New Roman"/>
          <w:i/>
          <w:color w:val="auto"/>
          <w:sz w:val="24"/>
          <w:szCs w:val="24"/>
        </w:rPr>
      </w:pPr>
    </w:p>
    <w:p w:rsidR="00942A91" w:rsidRDefault="00942A91" w:rsidP="00942A91">
      <w:pPr>
        <w:pStyle w:val="1"/>
        <w:rPr>
          <w:rStyle w:val="st46"/>
          <w:rFonts w:ascii="Times New Roman" w:hAnsi="Times New Roman" w:cs="Times New Roman"/>
          <w:i/>
          <w:color w:val="auto"/>
          <w:sz w:val="24"/>
          <w:szCs w:val="24"/>
        </w:rPr>
      </w:pPr>
    </w:p>
    <w:p w:rsidR="00942A91" w:rsidRPr="00942A91" w:rsidRDefault="00942A91" w:rsidP="00942A91">
      <w:pPr>
        <w:pStyle w:val="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42A91">
        <w:rPr>
          <w:rStyle w:val="st46"/>
          <w:rFonts w:ascii="Times New Roman" w:hAnsi="Times New Roman" w:cs="Times New Roman"/>
          <w:i/>
          <w:color w:val="auto"/>
          <w:sz w:val="24"/>
          <w:szCs w:val="24"/>
        </w:rPr>
        <w:t>{Додаток 2 із змінами, внесеними згідно з</w:t>
      </w:r>
      <w:r w:rsidRPr="00942A91">
        <w:rPr>
          <w:rStyle w:val="st42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42A91">
        <w:rPr>
          <w:rStyle w:val="st121"/>
          <w:rFonts w:ascii="Times New Roman" w:hAnsi="Times New Roman" w:cs="Times New Roman"/>
          <w:i/>
          <w:color w:val="auto"/>
          <w:sz w:val="24"/>
          <w:szCs w:val="24"/>
        </w:rPr>
        <w:t xml:space="preserve">Наказом Міністерства фінансів </w:t>
      </w:r>
      <w:r w:rsidRPr="00942A91">
        <w:rPr>
          <w:rStyle w:val="st131"/>
          <w:rFonts w:ascii="Times New Roman" w:hAnsi="Times New Roman" w:cs="Times New Roman"/>
          <w:i/>
          <w:color w:val="auto"/>
          <w:sz w:val="24"/>
          <w:szCs w:val="24"/>
        </w:rPr>
        <w:t>№ 627 від 09.12.2024</w:t>
      </w:r>
      <w:r w:rsidRPr="00942A91">
        <w:rPr>
          <w:rStyle w:val="st46"/>
          <w:rFonts w:ascii="Times New Roman" w:hAnsi="Times New Roman" w:cs="Times New Roman"/>
          <w:i/>
          <w:color w:val="auto"/>
          <w:sz w:val="24"/>
          <w:szCs w:val="24"/>
        </w:rPr>
        <w:t>}</w:t>
      </w:r>
    </w:p>
    <w:sectPr w:rsidR="00942A91" w:rsidRPr="00942A91" w:rsidSect="00192C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E7" w:rsidRDefault="00F521E7" w:rsidP="00A219AA">
      <w:pPr>
        <w:spacing w:after="0" w:line="240" w:lineRule="auto"/>
      </w:pPr>
      <w:r>
        <w:separator/>
      </w:r>
    </w:p>
  </w:endnote>
  <w:endnote w:type="continuationSeparator" w:id="0">
    <w:p w:rsidR="00F521E7" w:rsidRDefault="00F521E7" w:rsidP="00A2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AA" w:rsidRDefault="00A219AA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AA" w:rsidRDefault="00A219AA">
    <w:pPr>
      <w:pStyle w:val="af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AA" w:rsidRDefault="00A219AA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E7" w:rsidRDefault="00F521E7" w:rsidP="00A219AA">
      <w:pPr>
        <w:spacing w:after="0" w:line="240" w:lineRule="auto"/>
      </w:pPr>
      <w:r>
        <w:separator/>
      </w:r>
    </w:p>
  </w:footnote>
  <w:footnote w:type="continuationSeparator" w:id="0">
    <w:p w:rsidR="00F521E7" w:rsidRDefault="00F521E7" w:rsidP="00A2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AA" w:rsidRDefault="00A219AA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AA" w:rsidRDefault="00A219AA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AA" w:rsidRDefault="00A219AA">
    <w:pPr>
      <w:pStyle w:val="af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37"/>
    <w:rsid w:val="00061F79"/>
    <w:rsid w:val="00192CA2"/>
    <w:rsid w:val="0029705E"/>
    <w:rsid w:val="00313EB1"/>
    <w:rsid w:val="00330935"/>
    <w:rsid w:val="005C630C"/>
    <w:rsid w:val="005E403C"/>
    <w:rsid w:val="00783E2B"/>
    <w:rsid w:val="007E7F8F"/>
    <w:rsid w:val="00884060"/>
    <w:rsid w:val="00942A91"/>
    <w:rsid w:val="00A219AA"/>
    <w:rsid w:val="00F521E7"/>
    <w:rsid w:val="00F60937"/>
    <w:rsid w:val="00F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BB3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о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3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pPr>
      <w:keepNext/>
    </w:pPr>
  </w:style>
  <w:style w:type="paragraph" w:customStyle="1" w:styleId="afb">
    <w:name w:val="Стаття по центру (Общие:Базовые)"/>
    <w:basedOn w:val="a4"/>
    <w:next w:val="a4"/>
    <w:uiPriority w:val="99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a">
    <w:name w:val="Стаття по центру (Ch_6 Міністерства)"/>
    <w:basedOn w:val="afb"/>
    <w:next w:val="a4"/>
    <w:uiPriority w:val="99"/>
    <w:pPr>
      <w:keepNext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Ch6b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141Ch6">
    <w:name w:val="Затверджено_141 (Ch_6 Міністерства)"/>
    <w:basedOn w:val="af5"/>
    <w:uiPriority w:val="99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TABL">
    <w:name w:val="Тис гривень (TABL)"/>
    <w:basedOn w:val="a3"/>
    <w:uiPriority w:val="99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SnoskaSNOSKI0">
    <w:name w:val="Snoska*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c">
    <w:name w:val="Основной текст табуляция (Ch_6 Міністерства)"/>
    <w:basedOn w:val="Ch64"/>
    <w:uiPriority w:val="99"/>
    <w:pPr>
      <w:tabs>
        <w:tab w:val="right" w:leader="underscore" w:pos="7710"/>
        <w:tab w:val="right" w:leader="underscore" w:pos="11514"/>
      </w:tabs>
    </w:pPr>
  </w:style>
  <w:style w:type="paragraph" w:customStyle="1" w:styleId="Ch6d">
    <w:name w:val="Основной текст (без абзаца) (Ch_6 Міністерства)"/>
    <w:basedOn w:val="Ch64"/>
    <w:uiPriority w:val="9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e">
    <w:name w:val="Простой подзаг (п/ж) курсив (Ch_6 Міністерства)"/>
    <w:basedOn w:val="Ch68"/>
    <w:uiPriority w:val="99"/>
    <w:rPr>
      <w:i/>
      <w:iCs/>
    </w:r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c"/>
    <w:uiPriority w:val="9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d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</w:style>
  <w:style w:type="paragraph" w:customStyle="1" w:styleId="afe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f"/>
    <w:next w:val="Ch12"/>
    <w:uiPriority w:val="99"/>
  </w:style>
  <w:style w:type="paragraph" w:customStyle="1" w:styleId="aff0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2">
    <w:name w:val="Градус (Вспомогательные)"/>
    <w:uiPriority w:val="99"/>
    <w:rPr>
      <w:rFonts w:ascii="HeliosCond" w:hAnsi="HeliosCond"/>
    </w:rPr>
  </w:style>
  <w:style w:type="character" w:customStyle="1" w:styleId="aff3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4">
    <w:name w:val="Широкий пробел (Вспомогательные)"/>
    <w:uiPriority w:val="99"/>
  </w:style>
  <w:style w:type="character" w:customStyle="1" w:styleId="aff5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aff6">
    <w:name w:val="звездочка в сноске"/>
    <w:uiPriority w:val="99"/>
    <w:rPr>
      <w:w w:val="100"/>
      <w:position w:val="0"/>
      <w:sz w:val="18"/>
    </w:rPr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A21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9">
    <w:name w:val="Верхній колонтитул Знак"/>
    <w:basedOn w:val="a0"/>
    <w:link w:val="aff8"/>
    <w:uiPriority w:val="99"/>
    <w:rsid w:val="00A219AA"/>
  </w:style>
  <w:style w:type="paragraph" w:styleId="affa">
    <w:name w:val="footer"/>
    <w:basedOn w:val="a"/>
    <w:link w:val="affb"/>
    <w:uiPriority w:val="99"/>
    <w:unhideWhenUsed/>
    <w:rsid w:val="00A21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b">
    <w:name w:val="Нижній колонтитул Знак"/>
    <w:basedOn w:val="a0"/>
    <w:link w:val="affa"/>
    <w:uiPriority w:val="99"/>
    <w:rsid w:val="00A219AA"/>
  </w:style>
  <w:style w:type="character" w:customStyle="1" w:styleId="st42">
    <w:name w:val="st42"/>
    <w:uiPriority w:val="99"/>
    <w:rsid w:val="00942A91"/>
    <w:rPr>
      <w:color w:val="000000"/>
    </w:rPr>
  </w:style>
  <w:style w:type="character" w:customStyle="1" w:styleId="st121">
    <w:name w:val="st121"/>
    <w:uiPriority w:val="99"/>
    <w:rsid w:val="00942A91"/>
    <w:rPr>
      <w:i/>
      <w:iCs/>
      <w:color w:val="000000"/>
    </w:rPr>
  </w:style>
  <w:style w:type="character" w:customStyle="1" w:styleId="st131">
    <w:name w:val="st131"/>
    <w:uiPriority w:val="99"/>
    <w:rsid w:val="00942A91"/>
    <w:rPr>
      <w:i/>
      <w:iCs/>
      <w:color w:val="0000FF"/>
    </w:rPr>
  </w:style>
  <w:style w:type="character" w:customStyle="1" w:styleId="st46">
    <w:name w:val="st46"/>
    <w:uiPriority w:val="99"/>
    <w:rsid w:val="00942A9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3308</Words>
  <Characters>1886</Characters>
  <Application>Microsoft Office Word</Application>
  <DocSecurity>0</DocSecurity>
  <Lines>15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2025-01-13T09:32:00Z</dcterms:created>
  <dcterms:modified xsi:type="dcterms:W3CDTF">2025-01-13T09:32:00Z</dcterms:modified>
</cp:coreProperties>
</file>