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C0" w:rsidRDefault="002150C0" w:rsidP="00114C72">
      <w:pPr>
        <w:pStyle w:val="ab"/>
        <w:tabs>
          <w:tab w:val="left" w:pos="851"/>
        </w:tabs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bookmarkStart w:id="0" w:name="_Hlk188625097"/>
      <w:r>
        <w:rPr>
          <w:rFonts w:ascii="Times New Roman" w:hAnsi="Times New Roman"/>
          <w:sz w:val="24"/>
          <w:szCs w:val="24"/>
        </w:rPr>
        <w:t>Додаток № 2</w:t>
      </w:r>
    </w:p>
    <w:p w:rsidR="002150C0" w:rsidRPr="00AD422E" w:rsidRDefault="002150C0" w:rsidP="00114C72">
      <w:pPr>
        <w:pStyle w:val="ab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4C72" w:rsidRPr="00AD422E" w:rsidRDefault="00114C72" w:rsidP="00114C72">
      <w:pPr>
        <w:pStyle w:val="ab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AD422E">
        <w:rPr>
          <w:rFonts w:ascii="Times New Roman" w:hAnsi="Times New Roman"/>
          <w:b/>
          <w:i/>
          <w:sz w:val="24"/>
          <w:szCs w:val="24"/>
        </w:rPr>
        <w:t xml:space="preserve">Інформація щодо </w:t>
      </w:r>
      <w:r w:rsidR="00DD0A98">
        <w:rPr>
          <w:rFonts w:ascii="Times New Roman" w:hAnsi="Times New Roman"/>
          <w:b/>
          <w:i/>
          <w:sz w:val="24"/>
          <w:szCs w:val="24"/>
        </w:rPr>
        <w:t>розрахунку</w:t>
      </w:r>
      <w:r w:rsidRPr="00AD422E">
        <w:rPr>
          <w:rFonts w:ascii="Times New Roman" w:hAnsi="Times New Roman"/>
          <w:b/>
          <w:i/>
          <w:sz w:val="24"/>
          <w:szCs w:val="24"/>
        </w:rPr>
        <w:t xml:space="preserve"> базового обсягу витрат, бюджетного простору та вартості нових політик </w:t>
      </w:r>
    </w:p>
    <w:p w:rsidR="00114C72" w:rsidRDefault="00114C72" w:rsidP="00114C7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A1EB6" w:rsidRDefault="00F228E9" w:rsidP="004268C4">
      <w:pPr>
        <w:pStyle w:val="ab"/>
        <w:tabs>
          <w:tab w:val="left" w:pos="851"/>
        </w:tabs>
        <w:spacing w:after="60" w:line="240" w:lineRule="auto"/>
        <w:ind w:left="0" w:firstLine="567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 xml:space="preserve">На виконання </w:t>
      </w:r>
      <w:r w:rsidR="00FB1679" w:rsidRPr="00D64EC9">
        <w:rPr>
          <w:rFonts w:ascii="Times New Roman" w:hAnsi="Times New Roman"/>
          <w:sz w:val="24"/>
          <w:szCs w:val="24"/>
        </w:rPr>
        <w:t>Меморандуму про економічну і фінансову політику спільної з Міжнародним валютним фондом програми Механізму розширеного фінансування EFF Мінфіном у 2024 році за технічної підтримки М</w:t>
      </w:r>
      <w:r w:rsidR="00D317D9" w:rsidRPr="00D64EC9">
        <w:rPr>
          <w:rFonts w:ascii="Times New Roman" w:hAnsi="Times New Roman"/>
          <w:sz w:val="24"/>
          <w:szCs w:val="24"/>
        </w:rPr>
        <w:t>іжнародного валютного фонду</w:t>
      </w:r>
      <w:r w:rsidR="00FB1679" w:rsidRPr="00D64EC9">
        <w:rPr>
          <w:rFonts w:ascii="Times New Roman" w:hAnsi="Times New Roman"/>
          <w:sz w:val="24"/>
          <w:szCs w:val="24"/>
        </w:rPr>
        <w:t xml:space="preserve"> проведено діагностичний огляд системи середньостроковог</w:t>
      </w:r>
      <w:r w:rsidR="00BA1EB6" w:rsidRPr="00D64EC9">
        <w:rPr>
          <w:rFonts w:ascii="Times New Roman" w:hAnsi="Times New Roman"/>
          <w:sz w:val="24"/>
          <w:szCs w:val="24"/>
        </w:rPr>
        <w:t>о бюджетного планування України</w:t>
      </w:r>
      <w:bookmarkEnd w:id="0"/>
      <w:r>
        <w:t>.</w:t>
      </w:r>
    </w:p>
    <w:p w:rsidR="00FB1679" w:rsidRDefault="00CA2D2B" w:rsidP="004268C4">
      <w:pPr>
        <w:spacing w:after="60"/>
        <w:ind w:firstLine="567"/>
        <w:jc w:val="both"/>
      </w:pPr>
      <w:r w:rsidRPr="00F821D4">
        <w:rPr>
          <w:rFonts w:eastAsiaTheme="minorHAnsi"/>
          <w:lang w:eastAsia="en-US"/>
        </w:rPr>
        <w:t xml:space="preserve">За результатами </w:t>
      </w:r>
      <w:r>
        <w:rPr>
          <w:rFonts w:eastAsiaTheme="minorHAnsi"/>
          <w:lang w:eastAsia="en-US"/>
        </w:rPr>
        <w:t xml:space="preserve">діагностичного </w:t>
      </w:r>
      <w:r w:rsidRPr="00F821D4">
        <w:rPr>
          <w:rFonts w:eastAsiaTheme="minorHAnsi"/>
          <w:lang w:eastAsia="en-US"/>
        </w:rPr>
        <w:t xml:space="preserve">огляду виявлені прогалини системи середньострокового бюджетного планування в Україні, серед яких відсутність методології розрахунку базового обсягу витрат, розрахунок вартості нової політики не </w:t>
      </w:r>
      <w:proofErr w:type="spellStart"/>
      <w:r w:rsidRPr="00F821D4">
        <w:rPr>
          <w:rFonts w:eastAsiaTheme="minorHAnsi"/>
          <w:lang w:eastAsia="en-US"/>
        </w:rPr>
        <w:t>імплементовано</w:t>
      </w:r>
      <w:proofErr w:type="spellEnd"/>
      <w:r w:rsidRPr="00F821D4">
        <w:rPr>
          <w:rFonts w:eastAsiaTheme="minorHAnsi"/>
          <w:lang w:eastAsia="en-US"/>
        </w:rPr>
        <w:t xml:space="preserve"> у бюджетний процес,</w:t>
      </w:r>
      <w:r>
        <w:rPr>
          <w:rFonts w:eastAsiaTheme="minorHAnsi"/>
          <w:lang w:eastAsia="en-US"/>
        </w:rPr>
        <w:t xml:space="preserve"> </w:t>
      </w:r>
      <w:r w:rsidRPr="00F821D4">
        <w:rPr>
          <w:rFonts w:eastAsiaTheme="minorHAnsi"/>
          <w:lang w:eastAsia="en-US"/>
        </w:rPr>
        <w:t>відсутність комплексної оцінки бюджетного простору.</w:t>
      </w:r>
      <w:r w:rsidR="00114C72">
        <w:rPr>
          <w:rFonts w:eastAsiaTheme="minorHAnsi"/>
          <w:lang w:eastAsia="en-US"/>
        </w:rPr>
        <w:t xml:space="preserve"> </w:t>
      </w:r>
      <w:r w:rsidR="00FB1679" w:rsidRPr="00265D5C">
        <w:t>Запровадження до бюджетного процесу України</w:t>
      </w:r>
      <w:r>
        <w:t xml:space="preserve"> </w:t>
      </w:r>
      <w:proofErr w:type="spellStart"/>
      <w:r>
        <w:t>методологій</w:t>
      </w:r>
      <w:proofErr w:type="spellEnd"/>
      <w:r>
        <w:t>,</w:t>
      </w:r>
      <w:r w:rsidR="00FB1679" w:rsidRPr="00265D5C">
        <w:t xml:space="preserve"> процедур та норм, які дозволять заповнити зазначені прогалини, безпосередньо пов’язано із підготовкою до імплементації актів права Європейського Союзу, а саме Директиви Ради 2011/85/ЄС від 8 листопада 2011</w:t>
      </w:r>
      <w:r w:rsidR="00D64EC9">
        <w:t> </w:t>
      </w:r>
      <w:r w:rsidR="00FB1679" w:rsidRPr="00265D5C">
        <w:t>року щодо вимог до бюджетних рамок держав-членів, якою передбачено, що середньострокові бюджетні рамки повинні містити, серед іншого, прогнози кожної основної статті доходів і витрат на бюджетний рік і за його межами на основі незмінної політики.</w:t>
      </w:r>
    </w:p>
    <w:p w:rsidR="00CF5103" w:rsidRPr="00265D5C" w:rsidRDefault="00CA2D2B" w:rsidP="004268C4">
      <w:pPr>
        <w:spacing w:after="60"/>
        <w:ind w:firstLine="567"/>
        <w:jc w:val="both"/>
      </w:pPr>
      <w:r w:rsidRPr="00265D5C">
        <w:rPr>
          <w:color w:val="000000" w:themeColor="text1"/>
          <w:shd w:val="clear" w:color="auto" w:fill="FFFFFF"/>
        </w:rPr>
        <w:t xml:space="preserve">З метою наближення до стандартів бюджетного планування </w:t>
      </w:r>
      <w:r>
        <w:rPr>
          <w:color w:val="000000" w:themeColor="text1"/>
          <w:shd w:val="clear" w:color="auto" w:fill="FFFFFF"/>
        </w:rPr>
        <w:t xml:space="preserve">країн-членів </w:t>
      </w:r>
      <w:r w:rsidRPr="00265D5C">
        <w:rPr>
          <w:color w:val="000000" w:themeColor="text1"/>
          <w:shd w:val="clear" w:color="auto" w:fill="FFFFFF"/>
        </w:rPr>
        <w:t xml:space="preserve">Європейського </w:t>
      </w:r>
      <w:r w:rsidRPr="00F228E9">
        <w:rPr>
          <w:color w:val="000000" w:themeColor="text1"/>
          <w:shd w:val="clear" w:color="auto" w:fill="FFFFFF"/>
        </w:rPr>
        <w:t>Союзу Мінфіном у 2024 році було зроблено перші кроки, а саме в інструктивному листі від</w:t>
      </w:r>
      <w:r w:rsidR="00F228E9" w:rsidRPr="00114C72">
        <w:rPr>
          <w:color w:val="000000" w:themeColor="text1"/>
          <w:shd w:val="clear" w:color="auto" w:fill="FFFFFF"/>
        </w:rPr>
        <w:t xml:space="preserve"> 02.02.2024</w:t>
      </w:r>
      <w:r w:rsidRPr="00F228E9">
        <w:rPr>
          <w:color w:val="000000" w:themeColor="text1"/>
          <w:shd w:val="clear" w:color="auto" w:fill="FFFFFF"/>
        </w:rPr>
        <w:t xml:space="preserve"> №</w:t>
      </w:r>
      <w:r w:rsidR="00F228E9" w:rsidRPr="00114C72">
        <w:rPr>
          <w:color w:val="000000" w:themeColor="text1"/>
          <w:shd w:val="clear" w:color="auto" w:fill="FFFFFF"/>
        </w:rPr>
        <w:t> 04110-08-6/3302</w:t>
      </w:r>
      <w:r>
        <w:rPr>
          <w:color w:val="000000" w:themeColor="text1"/>
          <w:shd w:val="clear" w:color="auto" w:fill="FFFFFF"/>
        </w:rPr>
        <w:t xml:space="preserve"> </w:t>
      </w:r>
      <w:r w:rsidRPr="00265D5C">
        <w:rPr>
          <w:color w:val="000000" w:themeColor="text1"/>
          <w:shd w:val="clear" w:color="auto" w:fill="FFFFFF"/>
        </w:rPr>
        <w:t>запросив від головних розпорядникі</w:t>
      </w:r>
      <w:bookmarkStart w:id="1" w:name="_GoBack"/>
      <w:bookmarkEnd w:id="1"/>
      <w:r w:rsidRPr="00265D5C">
        <w:rPr>
          <w:color w:val="000000" w:themeColor="text1"/>
          <w:shd w:val="clear" w:color="auto" w:fill="FFFFFF"/>
        </w:rPr>
        <w:t xml:space="preserve">в інформацію щодо  факторів, що впливають на обсяг видатків та надання кредитів загального фонду державного бюджету та фінансово-економічне </w:t>
      </w:r>
      <w:r w:rsidR="00353626" w:rsidRPr="00265D5C">
        <w:rPr>
          <w:color w:val="000000" w:themeColor="text1"/>
          <w:shd w:val="clear" w:color="auto" w:fill="FFFFFF"/>
        </w:rPr>
        <w:t>обґрунтування</w:t>
      </w:r>
      <w:r w:rsidRPr="00265D5C">
        <w:rPr>
          <w:color w:val="000000" w:themeColor="text1"/>
          <w:shd w:val="clear" w:color="auto" w:fill="FFFFFF"/>
        </w:rPr>
        <w:t xml:space="preserve"> нових видатків та надання кредитів загального фонду.</w:t>
      </w:r>
      <w:r w:rsidR="00353626" w:rsidRPr="00353626">
        <w:rPr>
          <w:color w:val="000000" w:themeColor="text1"/>
          <w:shd w:val="clear" w:color="auto" w:fill="FFFFFF"/>
        </w:rPr>
        <w:t xml:space="preserve"> </w:t>
      </w:r>
      <w:r w:rsidR="009B0DF8" w:rsidRPr="00265D5C">
        <w:t>Запровадження нових підходів до бюджетного планування планується здійсн</w:t>
      </w:r>
      <w:r w:rsidR="003A7D62">
        <w:t xml:space="preserve">ювати </w:t>
      </w:r>
      <w:r w:rsidR="009B0DF8" w:rsidRPr="00265D5C">
        <w:t>поетапно:</w:t>
      </w:r>
    </w:p>
    <w:p w:rsidR="00CA2D2B" w:rsidRDefault="00D92A50" w:rsidP="004268C4">
      <w:pPr>
        <w:spacing w:after="60"/>
        <w:ind w:firstLine="567"/>
        <w:jc w:val="both"/>
      </w:pPr>
      <w:r>
        <w:rPr>
          <w:b/>
        </w:rPr>
        <w:t>1 етап</w:t>
      </w:r>
      <w:r w:rsidR="009B0DF8" w:rsidRPr="00265D5C">
        <w:rPr>
          <w:b/>
        </w:rPr>
        <w:t xml:space="preserve"> </w:t>
      </w:r>
      <w:r w:rsidR="00DE4EDD" w:rsidRPr="00265D5C">
        <w:t>(</w:t>
      </w:r>
      <w:r w:rsidR="00F13CA3" w:rsidRPr="00265D5C">
        <w:t xml:space="preserve">протягом </w:t>
      </w:r>
      <w:r w:rsidR="00DE4EDD" w:rsidRPr="00265D5C">
        <w:t>2025 р</w:t>
      </w:r>
      <w:r w:rsidR="00F13CA3" w:rsidRPr="00265D5C">
        <w:t>оку</w:t>
      </w:r>
      <w:r w:rsidR="00DE4EDD" w:rsidRPr="00265D5C">
        <w:t>)</w:t>
      </w:r>
      <w:r w:rsidR="009B0DF8" w:rsidRPr="00265D5C">
        <w:t xml:space="preserve"> передбачає </w:t>
      </w:r>
      <w:r w:rsidR="00CA2D2B">
        <w:t>в рамках – підготовки Бюджетної декларації на 2026-2028 роки</w:t>
      </w:r>
      <w:r w:rsidR="009B0DF8" w:rsidRPr="00265D5C">
        <w:t xml:space="preserve"> здійснення</w:t>
      </w:r>
      <w:r w:rsidR="00CA2D2B">
        <w:t>:</w:t>
      </w:r>
    </w:p>
    <w:p w:rsidR="009B0DF8" w:rsidRDefault="00CA2D2B" w:rsidP="004268C4">
      <w:pPr>
        <w:spacing w:after="60"/>
        <w:ind w:firstLine="567"/>
        <w:jc w:val="both"/>
        <w:rPr>
          <w:b/>
          <w:i/>
        </w:rPr>
      </w:pPr>
      <w:r>
        <w:t>-</w:t>
      </w:r>
      <w:r w:rsidR="009B0DF8" w:rsidRPr="00265D5C">
        <w:t xml:space="preserve"> </w:t>
      </w:r>
      <w:r w:rsidRPr="00265D5C">
        <w:rPr>
          <w:b/>
          <w:i/>
        </w:rPr>
        <w:t>на рівні  Мінфіну</w:t>
      </w:r>
      <w:r w:rsidRPr="00265D5C">
        <w:t xml:space="preserve"> </w:t>
      </w:r>
      <w:r w:rsidR="009B0DF8" w:rsidRPr="00265D5C">
        <w:t>розрахунку</w:t>
      </w:r>
      <w:r w:rsidR="009B0DF8" w:rsidRPr="00265D5C">
        <w:rPr>
          <w:b/>
        </w:rPr>
        <w:t xml:space="preserve"> </w:t>
      </w:r>
      <w:r w:rsidR="009B0DF8" w:rsidRPr="00265D5C">
        <w:t xml:space="preserve">базового обсягу витрат </w:t>
      </w:r>
      <w:r w:rsidR="00185550" w:rsidRPr="00265D5C">
        <w:t>(базової лінії)</w:t>
      </w:r>
      <w:r w:rsidR="00DE4EDD" w:rsidRPr="00265D5C">
        <w:t xml:space="preserve"> з урахування отриманої від головних розпорядників інформації про фактори, що впливають на бюджетні витрати</w:t>
      </w:r>
      <w:r>
        <w:t>,</w:t>
      </w:r>
      <w:r w:rsidR="00DE4EDD" w:rsidRPr="00265D5C">
        <w:t xml:space="preserve"> макроекономічн</w:t>
      </w:r>
      <w:r w:rsidR="003A7D62">
        <w:t>ого</w:t>
      </w:r>
      <w:r w:rsidR="00DE4EDD" w:rsidRPr="00265D5C">
        <w:t xml:space="preserve"> прогноз</w:t>
      </w:r>
      <w:r w:rsidR="003A7D62">
        <w:t>у</w:t>
      </w:r>
      <w:r>
        <w:t xml:space="preserve"> та розрахунку бюджетного простору</w:t>
      </w:r>
      <w:r w:rsidR="00DE4EDD" w:rsidRPr="00665FD4">
        <w:t>;</w:t>
      </w:r>
    </w:p>
    <w:p w:rsidR="00981F73" w:rsidRPr="00F821D4" w:rsidRDefault="00981F73" w:rsidP="004268C4">
      <w:pPr>
        <w:pStyle w:val="af3"/>
        <w:spacing w:before="0" w:beforeAutospacing="0" w:after="6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114C72">
        <w:rPr>
          <w:rFonts w:eastAsiaTheme="minorHAnsi"/>
          <w:b/>
          <w:i/>
          <w:lang w:eastAsia="en-US"/>
        </w:rPr>
        <w:t>на рівні головних розпорядників</w:t>
      </w:r>
      <w:r>
        <w:rPr>
          <w:rFonts w:eastAsiaTheme="minorHAnsi"/>
          <w:lang w:eastAsia="en-US"/>
        </w:rPr>
        <w:t xml:space="preserve"> розрахунку </w:t>
      </w:r>
      <w:r w:rsidRPr="00F821D4">
        <w:rPr>
          <w:rFonts w:eastAsiaTheme="minorHAnsi"/>
          <w:lang w:eastAsia="en-US"/>
        </w:rPr>
        <w:t xml:space="preserve">вартості нових політик, які пропонуються </w:t>
      </w:r>
      <w:r>
        <w:rPr>
          <w:rFonts w:eastAsiaTheme="minorHAnsi"/>
          <w:lang w:eastAsia="en-US"/>
        </w:rPr>
        <w:t>ними</w:t>
      </w:r>
      <w:r w:rsidRPr="00F821D4">
        <w:rPr>
          <w:rFonts w:eastAsiaTheme="minorHAnsi"/>
          <w:lang w:eastAsia="en-US"/>
        </w:rPr>
        <w:t xml:space="preserve"> для реалізації у 2026-2028 роках. </w:t>
      </w:r>
    </w:p>
    <w:p w:rsidR="00981F73" w:rsidRPr="00265D5C" w:rsidRDefault="00981F73" w:rsidP="004268C4">
      <w:pPr>
        <w:spacing w:after="60"/>
        <w:ind w:firstLine="567"/>
        <w:jc w:val="both"/>
        <w:rPr>
          <w:b/>
          <w:i/>
        </w:rPr>
      </w:pPr>
      <w:r w:rsidRPr="00F821D4">
        <w:rPr>
          <w:rFonts w:eastAsiaTheme="minorHAnsi"/>
          <w:lang w:eastAsia="en-US"/>
        </w:rPr>
        <w:t xml:space="preserve">Здійснення цих розрахунків передуватиме визначенню </w:t>
      </w:r>
      <w:r w:rsidRPr="00F821D4" w:rsidDel="007C68E9">
        <w:rPr>
          <w:rFonts w:eastAsiaTheme="minorHAnsi"/>
          <w:lang w:eastAsia="en-US"/>
        </w:rPr>
        <w:t>орієнтовних граничних показників видатків державного бюджету та надання кредитів з державного бюджету на середньостроковий період</w:t>
      </w:r>
      <w:r w:rsidRPr="00F821D4">
        <w:rPr>
          <w:rFonts w:eastAsiaTheme="minorHAnsi"/>
          <w:lang w:eastAsia="en-US"/>
        </w:rPr>
        <w:t>, який</w:t>
      </w:r>
      <w:r w:rsidRPr="00F821D4" w:rsidDel="007C68E9">
        <w:rPr>
          <w:rFonts w:eastAsiaTheme="minorHAnsi"/>
          <w:lang w:eastAsia="en-US"/>
        </w:rPr>
        <w:t xml:space="preserve">  здійснюється Мінфіном відповідно до </w:t>
      </w:r>
      <w:r w:rsidRPr="00F821D4">
        <w:rPr>
          <w:rFonts w:eastAsiaTheme="minorHAnsi"/>
          <w:lang w:eastAsia="en-US"/>
        </w:rPr>
        <w:t xml:space="preserve">статті 33 Бюджетного кодексу України та </w:t>
      </w:r>
      <w:r w:rsidRPr="00F821D4" w:rsidDel="007C68E9">
        <w:rPr>
          <w:rFonts w:eastAsiaTheme="minorHAnsi"/>
          <w:lang w:eastAsia="en-US"/>
        </w:rPr>
        <w:t xml:space="preserve">Інструкції з підготовки пропозицій до Бюджетної декларації, затвердженої наказом Міністерства фінансів України </w:t>
      </w:r>
      <w:r w:rsidRPr="00F821D4">
        <w:rPr>
          <w:rFonts w:eastAsiaTheme="minorHAnsi"/>
          <w:lang w:eastAsia="en-US"/>
        </w:rPr>
        <w:t xml:space="preserve">від </w:t>
      </w:r>
      <w:r w:rsidRPr="00F821D4" w:rsidDel="007C68E9">
        <w:rPr>
          <w:rFonts w:eastAsiaTheme="minorHAnsi"/>
          <w:lang w:eastAsia="en-US"/>
        </w:rPr>
        <w:t>21 липня 2022 року № 207, зареєстрован</w:t>
      </w:r>
      <w:r w:rsidRPr="00F821D4">
        <w:rPr>
          <w:rFonts w:eastAsiaTheme="minorHAnsi"/>
          <w:lang w:eastAsia="en-US"/>
        </w:rPr>
        <w:t>ої</w:t>
      </w:r>
      <w:r w:rsidRPr="00F821D4" w:rsidDel="007C68E9">
        <w:rPr>
          <w:rFonts w:eastAsiaTheme="minorHAnsi"/>
          <w:lang w:eastAsia="en-US"/>
        </w:rPr>
        <w:t xml:space="preserve"> в Міністерстві юстиції України 04</w:t>
      </w:r>
      <w:r w:rsidRPr="00F821D4">
        <w:rPr>
          <w:rFonts w:eastAsiaTheme="minorHAnsi"/>
          <w:lang w:eastAsia="en-US"/>
        </w:rPr>
        <w:t> серпня 2022 року за № 882/38218</w:t>
      </w:r>
      <w:r w:rsidRPr="00F821D4" w:rsidDel="007C68E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DE4EDD" w:rsidRDefault="00DE4EDD" w:rsidP="004268C4">
      <w:pPr>
        <w:spacing w:after="60"/>
        <w:ind w:firstLine="567"/>
        <w:jc w:val="both"/>
      </w:pPr>
      <w:r w:rsidRPr="00265D5C">
        <w:rPr>
          <w:b/>
        </w:rPr>
        <w:t xml:space="preserve">2 етап </w:t>
      </w:r>
      <w:r w:rsidRPr="00665FD4">
        <w:t>(</w:t>
      </w:r>
      <w:r w:rsidRPr="00265D5C">
        <w:t>починаючи з 2026 року</w:t>
      </w:r>
      <w:r w:rsidRPr="00665FD4">
        <w:t>)</w:t>
      </w:r>
      <w:r w:rsidRPr="00265D5C">
        <w:rPr>
          <w:b/>
        </w:rPr>
        <w:t xml:space="preserve"> </w:t>
      </w:r>
      <w:r w:rsidRPr="00265D5C">
        <w:t>передбачає</w:t>
      </w:r>
      <w:r w:rsidR="00981F73">
        <w:t>, на відміну від 1</w:t>
      </w:r>
      <w:r w:rsidR="00665FD4">
        <w:t xml:space="preserve"> </w:t>
      </w:r>
      <w:r w:rsidR="00981F73">
        <w:t>етапу,</w:t>
      </w:r>
      <w:r w:rsidRPr="00265D5C">
        <w:rPr>
          <w:b/>
        </w:rPr>
        <w:t xml:space="preserve"> </w:t>
      </w:r>
      <w:r w:rsidRPr="00265D5C">
        <w:t>здійснення розрахунку</w:t>
      </w:r>
      <w:r w:rsidRPr="00265D5C">
        <w:rPr>
          <w:b/>
        </w:rPr>
        <w:t xml:space="preserve"> </w:t>
      </w:r>
      <w:r w:rsidRPr="00265D5C">
        <w:t xml:space="preserve">базового обсягу витрат </w:t>
      </w:r>
      <w:r w:rsidR="00981F73">
        <w:t xml:space="preserve">як </w:t>
      </w:r>
      <w:r w:rsidR="001103D1" w:rsidRPr="00265D5C">
        <w:rPr>
          <w:b/>
          <w:i/>
        </w:rPr>
        <w:t>Мінфіном та</w:t>
      </w:r>
      <w:r w:rsidR="00981F73">
        <w:rPr>
          <w:b/>
          <w:i/>
        </w:rPr>
        <w:t>к і</w:t>
      </w:r>
      <w:r w:rsidR="001103D1" w:rsidRPr="00265D5C">
        <w:t xml:space="preserve"> </w:t>
      </w:r>
      <w:r w:rsidRPr="00265D5C">
        <w:rPr>
          <w:b/>
          <w:i/>
        </w:rPr>
        <w:t>головними розпорядниками</w:t>
      </w:r>
      <w:r w:rsidRPr="00980AA2">
        <w:t>.</w:t>
      </w:r>
    </w:p>
    <w:p w:rsidR="00EC1BE8" w:rsidRPr="00265D5C" w:rsidRDefault="00EC1BE8" w:rsidP="004268C4">
      <w:pPr>
        <w:spacing w:after="60"/>
        <w:ind w:firstLine="567"/>
        <w:jc w:val="both"/>
        <w:rPr>
          <w:b/>
          <w:i/>
          <w:color w:val="FF0000"/>
        </w:rPr>
      </w:pPr>
    </w:p>
    <w:p w:rsidR="00981F73" w:rsidRPr="00F821D4" w:rsidRDefault="00012353" w:rsidP="004268C4">
      <w:pPr>
        <w:tabs>
          <w:tab w:val="left" w:pos="567"/>
          <w:tab w:val="left" w:pos="851"/>
          <w:tab w:val="left" w:pos="1134"/>
        </w:tabs>
        <w:spacing w:after="60"/>
        <w:ind w:firstLine="567"/>
        <w:jc w:val="both"/>
      </w:pPr>
      <w:r w:rsidRPr="00265D5C">
        <w:rPr>
          <w:b/>
        </w:rPr>
        <w:t>І</w:t>
      </w:r>
      <w:r w:rsidRPr="00265D5C">
        <w:t xml:space="preserve">. </w:t>
      </w:r>
      <w:r w:rsidR="00981F73" w:rsidRPr="00F821D4">
        <w:t xml:space="preserve">Розрахунок базового обсягу витрат буде здійснено Мінфіном на кожен рік середньострокового періоду на основі незмінної політики. </w:t>
      </w:r>
    </w:p>
    <w:p w:rsidR="00981F73" w:rsidRDefault="00981F73" w:rsidP="004268C4">
      <w:pPr>
        <w:tabs>
          <w:tab w:val="left" w:pos="567"/>
          <w:tab w:val="left" w:pos="851"/>
          <w:tab w:val="left" w:pos="1134"/>
        </w:tabs>
        <w:spacing w:after="60"/>
        <w:ind w:firstLine="567"/>
        <w:jc w:val="both"/>
      </w:pPr>
      <w:r w:rsidRPr="00F821D4">
        <w:t>Незмінною політикою для здійснення цього розрахунку вважатимуться  рішення, враховані у Державному бюджеті України на 2025 рік (зокрема щодо обмеження / призупинення норм чинного законодавства). Тобто це норми законів, інших нормативно-правових актів які регулюють питання надання публічних послуг та здійснення заходів за рахунок коштів державного бюджету, а також норми встановлені безпосередньо Законом України про Державний бюджет України.</w:t>
      </w:r>
      <w:r>
        <w:t xml:space="preserve"> </w:t>
      </w:r>
    </w:p>
    <w:p w:rsidR="00BD0D8E" w:rsidRPr="00265D5C" w:rsidRDefault="00BD0D8E" w:rsidP="004268C4">
      <w:pPr>
        <w:pStyle w:val="ab"/>
        <w:tabs>
          <w:tab w:val="left" w:pos="567"/>
          <w:tab w:val="left" w:pos="993"/>
          <w:tab w:val="left" w:pos="1134"/>
        </w:tabs>
        <w:spacing w:after="6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65D5C">
        <w:rPr>
          <w:rFonts w:ascii="Times New Roman" w:hAnsi="Times New Roman"/>
          <w:sz w:val="24"/>
          <w:szCs w:val="24"/>
        </w:rPr>
        <w:t>Основою для розрахунку базового обсягу витрат</w:t>
      </w:r>
      <w:r w:rsidR="00C07020" w:rsidRPr="00265D5C">
        <w:rPr>
          <w:rFonts w:ascii="Times New Roman" w:hAnsi="Times New Roman"/>
          <w:sz w:val="24"/>
          <w:szCs w:val="24"/>
        </w:rPr>
        <w:t xml:space="preserve"> (базової лінії)</w:t>
      </w:r>
      <w:r w:rsidRPr="00265D5C">
        <w:rPr>
          <w:rFonts w:ascii="Times New Roman" w:hAnsi="Times New Roman"/>
          <w:sz w:val="24"/>
          <w:szCs w:val="24"/>
        </w:rPr>
        <w:t xml:space="preserve"> є:</w:t>
      </w:r>
      <w:r w:rsidR="00012353" w:rsidRPr="00265D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D0D8E" w:rsidRPr="00265D5C" w:rsidRDefault="00BD0D8E" w:rsidP="004268C4">
      <w:pPr>
        <w:tabs>
          <w:tab w:val="left" w:pos="567"/>
          <w:tab w:val="left" w:pos="993"/>
          <w:tab w:val="left" w:pos="1134"/>
        </w:tabs>
        <w:spacing w:after="60"/>
        <w:ind w:firstLine="567"/>
        <w:jc w:val="both"/>
      </w:pPr>
      <w:r w:rsidRPr="00265D5C">
        <w:lastRenderedPageBreak/>
        <w:t xml:space="preserve">на перший рік середньострокового бюджетного періоду  – показники закону про Державний бюджет України на поточний рік (рік, що передує плановому періоду); </w:t>
      </w:r>
    </w:p>
    <w:p w:rsidR="00BD0D8E" w:rsidRPr="00265D5C" w:rsidRDefault="00BD0D8E" w:rsidP="004268C4">
      <w:pPr>
        <w:pStyle w:val="ab"/>
        <w:tabs>
          <w:tab w:val="left" w:pos="851"/>
          <w:tab w:val="left" w:pos="993"/>
          <w:tab w:val="left" w:pos="1134"/>
        </w:tabs>
        <w:spacing w:after="6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D5C">
        <w:rPr>
          <w:rFonts w:ascii="Times New Roman" w:hAnsi="Times New Roman"/>
          <w:sz w:val="24"/>
          <w:szCs w:val="24"/>
        </w:rPr>
        <w:t>на другий та третій роки середньострокового періоду  – показники базового обсягу витрат попереднього року.</w:t>
      </w:r>
    </w:p>
    <w:p w:rsidR="00981F73" w:rsidRDefault="00BD0D8E" w:rsidP="004268C4">
      <w:pPr>
        <w:pStyle w:val="ab"/>
        <w:tabs>
          <w:tab w:val="left" w:pos="426"/>
          <w:tab w:val="left" w:pos="709"/>
          <w:tab w:val="left" w:pos="993"/>
          <w:tab w:val="left" w:pos="1134"/>
        </w:tabs>
        <w:spacing w:after="6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D5C">
        <w:rPr>
          <w:rFonts w:ascii="Times New Roman" w:hAnsi="Times New Roman"/>
          <w:sz w:val="24"/>
          <w:szCs w:val="24"/>
        </w:rPr>
        <w:t>Розрахунок базового обсягу витрат передбачає</w:t>
      </w:r>
      <w:r w:rsidR="00981F73">
        <w:rPr>
          <w:rFonts w:ascii="Times New Roman" w:hAnsi="Times New Roman"/>
          <w:sz w:val="24"/>
          <w:szCs w:val="24"/>
        </w:rPr>
        <w:t>, зокрема:</w:t>
      </w:r>
    </w:p>
    <w:p w:rsidR="00981F73" w:rsidRDefault="00BD0D8E" w:rsidP="004268C4">
      <w:pPr>
        <w:pStyle w:val="ab"/>
        <w:tabs>
          <w:tab w:val="left" w:pos="426"/>
          <w:tab w:val="left" w:pos="709"/>
          <w:tab w:val="left" w:pos="993"/>
          <w:tab w:val="left" w:pos="1134"/>
        </w:tabs>
        <w:spacing w:after="6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D5C">
        <w:rPr>
          <w:rFonts w:ascii="Times New Roman" w:hAnsi="Times New Roman"/>
          <w:sz w:val="24"/>
          <w:szCs w:val="24"/>
        </w:rPr>
        <w:t>врахування макроекономічного прогнозу соціального і економічного розвитку, прогнозів та оцінок щодо зміни галузевих показників, які не пов’язані із рішеннями щодо зміни політики</w:t>
      </w:r>
      <w:r w:rsidR="00981F73">
        <w:rPr>
          <w:rFonts w:ascii="Times New Roman" w:hAnsi="Times New Roman"/>
          <w:sz w:val="24"/>
          <w:szCs w:val="24"/>
        </w:rPr>
        <w:t>;</w:t>
      </w:r>
    </w:p>
    <w:p w:rsidR="00981F73" w:rsidRDefault="00981F73" w:rsidP="004268C4">
      <w:pPr>
        <w:pStyle w:val="ab"/>
        <w:tabs>
          <w:tab w:val="left" w:pos="426"/>
          <w:tab w:val="left" w:pos="709"/>
          <w:tab w:val="left" w:pos="993"/>
          <w:tab w:val="left" w:pos="1134"/>
        </w:tabs>
        <w:spacing w:after="6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21D4">
        <w:rPr>
          <w:rFonts w:ascii="Times New Roman" w:hAnsi="Times New Roman"/>
          <w:sz w:val="24"/>
          <w:szCs w:val="24"/>
        </w:rPr>
        <w:t>актуалізацію кількісних та вартісних факторів, що впливають на обсяги видатків державного бюджету та надання кредитів з державного бюджету у середньостроковому періоді для кожного з відповідних років</w:t>
      </w:r>
      <w:r>
        <w:rPr>
          <w:rFonts w:ascii="Times New Roman" w:hAnsi="Times New Roman"/>
          <w:sz w:val="24"/>
          <w:szCs w:val="24"/>
        </w:rPr>
        <w:t>;</w:t>
      </w:r>
    </w:p>
    <w:p w:rsidR="00BD0D8E" w:rsidRPr="00265D5C" w:rsidRDefault="00981F73" w:rsidP="004268C4">
      <w:pPr>
        <w:pStyle w:val="ab"/>
        <w:tabs>
          <w:tab w:val="left" w:pos="426"/>
          <w:tab w:val="left" w:pos="709"/>
          <w:tab w:val="left" w:pos="993"/>
          <w:tab w:val="left" w:pos="1134"/>
        </w:tabs>
        <w:spacing w:after="6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073A">
        <w:rPr>
          <w:rFonts w:ascii="Times New Roman" w:hAnsi="Times New Roman"/>
          <w:sz w:val="24"/>
          <w:szCs w:val="24"/>
        </w:rPr>
        <w:t xml:space="preserve">скорочення показників закону про Державний бюджет України на поточний рік (або показників, які є основою для розрахунку базового обсягу витрат на другий та третій роки середньострокового періоду) на розмір витрат </w:t>
      </w:r>
      <w:r w:rsidRPr="001C073A">
        <w:rPr>
          <w:rFonts w:ascii="Times New Roman" w:hAnsi="Times New Roman"/>
          <w:sz w:val="24"/>
          <w:szCs w:val="24"/>
          <w:shd w:val="clear" w:color="auto" w:fill="FFFFFF"/>
        </w:rPr>
        <w:t>на програми / заходи / </w:t>
      </w:r>
      <w:proofErr w:type="spellStart"/>
      <w:r w:rsidRPr="001C073A">
        <w:rPr>
          <w:rFonts w:ascii="Times New Roman" w:hAnsi="Times New Roman"/>
          <w:sz w:val="24"/>
          <w:szCs w:val="24"/>
          <w:shd w:val="clear" w:color="auto" w:fill="FFFFFF"/>
        </w:rPr>
        <w:t>проєкти</w:t>
      </w:r>
      <w:proofErr w:type="spellEnd"/>
      <w:r w:rsidRPr="001C073A">
        <w:rPr>
          <w:rFonts w:ascii="Times New Roman" w:hAnsi="Times New Roman"/>
          <w:sz w:val="24"/>
          <w:szCs w:val="24"/>
          <w:shd w:val="clear" w:color="auto" w:fill="FFFFFF"/>
        </w:rPr>
        <w:t xml:space="preserve"> (наприклад, публічні інвестиційні </w:t>
      </w:r>
      <w:proofErr w:type="spellStart"/>
      <w:r w:rsidRPr="001C073A">
        <w:rPr>
          <w:rFonts w:ascii="Times New Roman" w:hAnsi="Times New Roman"/>
          <w:sz w:val="24"/>
          <w:szCs w:val="24"/>
          <w:shd w:val="clear" w:color="auto" w:fill="FFFFFF"/>
        </w:rPr>
        <w:t>проєкти</w:t>
      </w:r>
      <w:proofErr w:type="spellEnd"/>
      <w:r w:rsidRPr="001C073A">
        <w:rPr>
          <w:rFonts w:ascii="Times New Roman" w:hAnsi="Times New Roman"/>
          <w:sz w:val="24"/>
          <w:szCs w:val="24"/>
          <w:shd w:val="clear" w:color="auto" w:fill="FFFFFF"/>
        </w:rPr>
        <w:t>), строк виконання / реалізації яких закінчується</w:t>
      </w:r>
      <w:r w:rsidRPr="001C073A">
        <w:rPr>
          <w:rFonts w:ascii="Times New Roman" w:hAnsi="Times New Roman"/>
          <w:sz w:val="24"/>
          <w:szCs w:val="24"/>
        </w:rPr>
        <w:t>.</w:t>
      </w:r>
    </w:p>
    <w:p w:rsidR="00634119" w:rsidRDefault="00981F73" w:rsidP="00AD422E">
      <w:pPr>
        <w:tabs>
          <w:tab w:val="left" w:pos="567"/>
          <w:tab w:val="left" w:pos="993"/>
          <w:tab w:val="left" w:pos="1134"/>
        </w:tabs>
        <w:spacing w:after="60"/>
        <w:ind w:firstLine="567"/>
        <w:jc w:val="both"/>
      </w:pPr>
      <w:r w:rsidRPr="00193B22">
        <w:t>Для актуалізації кількісних та вартісних факторів, що впливають на обсяги видатків державного бюджету та надання кредитів з державного бюджету з урахуванням галузевих особливостей головні розпорядники надають Мінфіну інформацію за формами, що дода</w:t>
      </w:r>
      <w:r w:rsidR="000864F4" w:rsidRPr="00634119">
        <w:t>ні до листа</w:t>
      </w:r>
      <w:r w:rsidR="00634119" w:rsidRPr="00634119">
        <w:t>.</w:t>
      </w:r>
    </w:p>
    <w:p w:rsidR="00012353" w:rsidRDefault="00012353" w:rsidP="004268C4">
      <w:pPr>
        <w:tabs>
          <w:tab w:val="left" w:pos="567"/>
          <w:tab w:val="left" w:pos="993"/>
          <w:tab w:val="left" w:pos="1134"/>
        </w:tabs>
        <w:spacing w:after="60"/>
        <w:ind w:firstLine="567"/>
        <w:jc w:val="both"/>
      </w:pPr>
      <w:r w:rsidRPr="00265D5C">
        <w:t>Підходи до кількісних і вартісних факторів визначені розділом ІІІ Інструкції з підготовки пропозицій до Бюджетної декларації, затвердженої наказом Міністерства фінансів України 21 липня 2022 року № 207, зареєстрованим в Міністерстві юстиції України 04 серпня 2022 року за № 882/38218.</w:t>
      </w:r>
    </w:p>
    <w:p w:rsidR="00981F73" w:rsidRPr="00265D5C" w:rsidRDefault="00981F73" w:rsidP="004268C4">
      <w:pPr>
        <w:tabs>
          <w:tab w:val="left" w:pos="567"/>
          <w:tab w:val="left" w:pos="993"/>
          <w:tab w:val="left" w:pos="1134"/>
        </w:tabs>
        <w:spacing w:after="60"/>
        <w:ind w:firstLine="567"/>
        <w:jc w:val="both"/>
        <w:rPr>
          <w:shd w:val="clear" w:color="auto" w:fill="FFFFFF"/>
        </w:rPr>
      </w:pPr>
      <w:r>
        <w:t xml:space="preserve">Під час підготовки бюджетних пропозиції </w:t>
      </w:r>
      <w:r w:rsidRPr="00980AA2">
        <w:t>на 2026-202</w:t>
      </w:r>
      <w:r w:rsidR="00980AA2" w:rsidRPr="00980AA2">
        <w:t>8</w:t>
      </w:r>
      <w:r>
        <w:t xml:space="preserve"> роки головні розпорядники також здійснять розрахунок базового обсягу витрат на відповідні роки і </w:t>
      </w:r>
      <w:proofErr w:type="spellStart"/>
      <w:r>
        <w:t>нададуть</w:t>
      </w:r>
      <w:proofErr w:type="spellEnd"/>
      <w:r>
        <w:t xml:space="preserve"> результати цього розрахунку Мінфіну для порівняння і подальшого удосконалення методичних підходів до розрахунку. </w:t>
      </w:r>
    </w:p>
    <w:p w:rsidR="00981F73" w:rsidRPr="00F821D4" w:rsidRDefault="00012353" w:rsidP="004268C4">
      <w:pPr>
        <w:pStyle w:val="rvps2"/>
        <w:shd w:val="clear" w:color="auto" w:fill="FFFFFF"/>
        <w:spacing w:before="0" w:beforeAutospacing="0" w:after="60" w:afterAutospacing="0"/>
        <w:ind w:firstLine="567"/>
        <w:jc w:val="both"/>
      </w:pPr>
      <w:r w:rsidRPr="00265D5C">
        <w:rPr>
          <w:b/>
        </w:rPr>
        <w:t>ІІ.</w:t>
      </w:r>
      <w:r w:rsidRPr="00265D5C">
        <w:t xml:space="preserve"> </w:t>
      </w:r>
      <w:r w:rsidR="00981F73" w:rsidRPr="00F821D4">
        <w:t xml:space="preserve">Розрахунок вартості нової політики </w:t>
      </w:r>
      <w:r w:rsidR="00981F73">
        <w:t>дозволяє</w:t>
      </w:r>
      <w:r w:rsidR="00981F73" w:rsidRPr="00F821D4">
        <w:t xml:space="preserve"> оцінити чи мож</w:t>
      </w:r>
      <w:r w:rsidR="00981F73">
        <w:t>уть бути реалізовані</w:t>
      </w:r>
      <w:r w:rsidR="00981F73" w:rsidRPr="00F821D4">
        <w:t xml:space="preserve"> нові політичні ініціативи в межах наявного бюджетного простору і чи не порушить це фіскальну стійкість.</w:t>
      </w:r>
    </w:p>
    <w:p w:rsidR="00981F73" w:rsidRPr="00F821D4" w:rsidRDefault="00981F73" w:rsidP="004268C4">
      <w:pPr>
        <w:pStyle w:val="rvps2"/>
        <w:shd w:val="clear" w:color="auto" w:fill="FFFFFF"/>
        <w:spacing w:before="0" w:beforeAutospacing="0" w:after="60" w:afterAutospacing="0"/>
        <w:ind w:firstLine="567"/>
        <w:jc w:val="both"/>
      </w:pPr>
      <w:r w:rsidRPr="00F821D4">
        <w:t xml:space="preserve">Такими новими політичними ініціативами можуть бути рішення щодо запровадження публічних послуг / заходів, не передбачених законом про державний бюджет на поточний рік, або рішення, що передбачають зміну механізму реалізації існуючої політики щодо надання публічних послуг (здійснення заходів) порівняно з поточним роком. </w:t>
      </w:r>
    </w:p>
    <w:p w:rsidR="00981F73" w:rsidRDefault="00981F73" w:rsidP="004268C4">
      <w:pPr>
        <w:pStyle w:val="rvps2"/>
        <w:shd w:val="clear" w:color="auto" w:fill="FFFFFF"/>
        <w:spacing w:before="0" w:beforeAutospacing="0" w:after="60" w:afterAutospacing="0"/>
        <w:ind w:firstLine="567"/>
        <w:jc w:val="both"/>
      </w:pPr>
      <w:r w:rsidRPr="00F821D4">
        <w:t>Зміна механізмів реалізації політики полягає у перегляді чинних норм законодавства щодо надання публічних послуг (здійснення заходів) з метою винайдення більш ефективних способів реалізації державної політики. В рамках таких ініціатив можуть пропонуватися зміни, зокрема, до способів надання послуг, формул розрахунку їх вартості, вимог до отримувачів та/або надавачів послуг</w:t>
      </w:r>
      <w:r>
        <w:t xml:space="preserve">, які </w:t>
      </w:r>
      <w:r w:rsidRPr="00D03DE8">
        <w:t>спрямовані на економію бюджетних коштів та/або підвищення ефективності реалізації відповідної політики</w:t>
      </w:r>
      <w:r w:rsidRPr="00F821D4">
        <w:t>.</w:t>
      </w:r>
    </w:p>
    <w:p w:rsidR="00981F73" w:rsidRDefault="00981F73" w:rsidP="004268C4">
      <w:pPr>
        <w:pStyle w:val="rvps2"/>
        <w:shd w:val="clear" w:color="auto" w:fill="FFFFFF"/>
        <w:spacing w:before="0" w:beforeAutospacing="0" w:after="60" w:afterAutospacing="0"/>
        <w:ind w:firstLine="567"/>
        <w:jc w:val="both"/>
      </w:pPr>
      <w:r w:rsidRPr="00F821D4">
        <w:t>Під час складання Бюджетної декларації як нова політика розглядається запровадження у середньостроковому періоді публічних послуг та заходів, не передбачених законом про Державний бюджет України на поточний рік, або зміна механізмів реалізації політики порівняно із поточним роком. В тому числі як нова політика розглядаються питання щодо відновлення дії призупинених у поточному році норм законодавства.</w:t>
      </w:r>
    </w:p>
    <w:p w:rsidR="00012353" w:rsidRPr="00265D5C" w:rsidRDefault="00012353" w:rsidP="004268C4">
      <w:pPr>
        <w:widowControl w:val="0"/>
        <w:tabs>
          <w:tab w:val="left" w:pos="993"/>
        </w:tabs>
        <w:autoSpaceDE w:val="0"/>
        <w:autoSpaceDN w:val="0"/>
        <w:spacing w:after="60"/>
        <w:ind w:firstLine="567"/>
        <w:jc w:val="both"/>
      </w:pPr>
      <w:r w:rsidRPr="00265D5C">
        <w:t>Розрахунок вартості нових політик (в тому числі зміни механізмів реалізації політики порівняно із поточним роком) здійснюється  з урахуванням кількісних і вартісних факторів, дотримуючись принципу</w:t>
      </w:r>
      <w:r w:rsidRPr="00265D5C">
        <w:rPr>
          <w:shd w:val="clear" w:color="auto" w:fill="FFFFFF"/>
        </w:rPr>
        <w:t xml:space="preserve"> </w:t>
      </w:r>
      <w:r w:rsidRPr="00265D5C">
        <w:t>обґрунтованості витрат «від першої гривні».</w:t>
      </w:r>
    </w:p>
    <w:p w:rsidR="00012353" w:rsidRPr="00265D5C" w:rsidRDefault="00012353" w:rsidP="004268C4">
      <w:pPr>
        <w:pStyle w:val="ab"/>
        <w:tabs>
          <w:tab w:val="left" w:pos="993"/>
          <w:tab w:val="left" w:pos="1134"/>
        </w:tabs>
        <w:spacing w:after="6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D5C">
        <w:rPr>
          <w:rFonts w:ascii="Times New Roman" w:hAnsi="Times New Roman"/>
          <w:sz w:val="24"/>
          <w:szCs w:val="24"/>
        </w:rPr>
        <w:lastRenderedPageBreak/>
        <w:t xml:space="preserve">Вартість нових політик, передбачених на відповідні роки Бюджетною декларацією, схваленою у попередньому бюджетному періоді, має бути уточнена з урахуванням актуального рівня відповідних кількісних та вартісних факторів. </w:t>
      </w:r>
    </w:p>
    <w:p w:rsidR="00012353" w:rsidRPr="00265D5C" w:rsidRDefault="00012353" w:rsidP="004268C4">
      <w:pPr>
        <w:tabs>
          <w:tab w:val="left" w:pos="993"/>
        </w:tabs>
        <w:spacing w:after="60"/>
        <w:ind w:firstLine="567"/>
        <w:jc w:val="both"/>
      </w:pPr>
      <w:r w:rsidRPr="00265D5C">
        <w:t xml:space="preserve">Розрахунок вартості нової політики здійснюється з урахуванням фінансово-економічного обґрунтування до </w:t>
      </w:r>
      <w:proofErr w:type="spellStart"/>
      <w:r w:rsidRPr="00265D5C">
        <w:t>проєкту</w:t>
      </w:r>
      <w:proofErr w:type="spellEnd"/>
      <w:r w:rsidRPr="00265D5C">
        <w:t xml:space="preserve"> відповідного закону, іншого нормативно-правового акту, яким було прийнято рішення про таку нову політику.</w:t>
      </w:r>
    </w:p>
    <w:p w:rsidR="00012353" w:rsidRPr="00265D5C" w:rsidRDefault="00012353" w:rsidP="004268C4">
      <w:pPr>
        <w:widowControl w:val="0"/>
        <w:tabs>
          <w:tab w:val="left" w:pos="993"/>
        </w:tabs>
        <w:autoSpaceDE w:val="0"/>
        <w:autoSpaceDN w:val="0"/>
        <w:spacing w:after="60"/>
        <w:ind w:firstLine="567"/>
        <w:jc w:val="both"/>
      </w:pPr>
      <w:r w:rsidRPr="00265D5C">
        <w:t xml:space="preserve">Якщо реалізація нової політики передбачена актом Кабінету Міністрів України або законом, </w:t>
      </w:r>
      <w:proofErr w:type="spellStart"/>
      <w:r w:rsidRPr="00265D5C">
        <w:t>проєкт</w:t>
      </w:r>
      <w:proofErr w:type="spellEnd"/>
      <w:r w:rsidRPr="00265D5C">
        <w:t xml:space="preserve"> якого було </w:t>
      </w:r>
      <w:proofErr w:type="spellStart"/>
      <w:r w:rsidRPr="00265D5C">
        <w:t>внесено</w:t>
      </w:r>
      <w:proofErr w:type="spellEnd"/>
      <w:r w:rsidRPr="00265D5C">
        <w:t xml:space="preserve"> у порядку законодавчої ініціативи Кабінетом Міністрів України на розгляд Верховної Ради України, враховуються фінансово-економічні розрахунки, здійснені відповідно до Методики проведення фінансово-економічних розрахунків при підготовці проекту </w:t>
      </w:r>
      <w:proofErr w:type="spellStart"/>
      <w:r w:rsidRPr="00265D5C">
        <w:t>акта</w:t>
      </w:r>
      <w:proofErr w:type="spellEnd"/>
      <w:r w:rsidRPr="00265D5C"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України, затвердженої наказом Мінфіну від 21.03.2008  № 428, зареєстрованим в Міністерстві юстиції України 11 квітня 2008 року за №</w:t>
      </w:r>
      <w:r w:rsidR="00C07020" w:rsidRPr="00265D5C">
        <w:t> </w:t>
      </w:r>
      <w:r w:rsidRPr="00265D5C">
        <w:t>297/14988.</w:t>
      </w:r>
    </w:p>
    <w:p w:rsidR="00012353" w:rsidRDefault="00012353" w:rsidP="004268C4">
      <w:pPr>
        <w:tabs>
          <w:tab w:val="left" w:pos="993"/>
        </w:tabs>
        <w:spacing w:after="60"/>
        <w:ind w:firstLine="567"/>
        <w:jc w:val="both"/>
      </w:pPr>
      <w:r w:rsidRPr="00265D5C">
        <w:t>Відповідні кількісні та вартісні фактори застосовуються для розрахунку вартості нової політики на тому ж рівні, що і для розрахунку базового обсягу витрат на відповідний рік середньострокового періоду.</w:t>
      </w:r>
    </w:p>
    <w:p w:rsidR="00634119" w:rsidRDefault="00981F73" w:rsidP="00AD422E">
      <w:pPr>
        <w:tabs>
          <w:tab w:val="left" w:pos="567"/>
          <w:tab w:val="left" w:pos="993"/>
          <w:tab w:val="left" w:pos="1134"/>
        </w:tabs>
        <w:spacing w:after="60"/>
        <w:ind w:firstLine="567"/>
        <w:jc w:val="both"/>
      </w:pPr>
      <w:r>
        <w:t>За результатами проведених розрахунків г</w:t>
      </w:r>
      <w:r w:rsidRPr="00F821D4">
        <w:t xml:space="preserve">оловні розпорядники надають </w:t>
      </w:r>
      <w:r>
        <w:t>інформацію за формою</w:t>
      </w:r>
      <w:r w:rsidR="00634119" w:rsidRPr="00464078">
        <w:t>, що додан</w:t>
      </w:r>
      <w:r w:rsidR="00634119">
        <w:t xml:space="preserve">а </w:t>
      </w:r>
      <w:r w:rsidR="00634119" w:rsidRPr="00464078">
        <w:t>до листа.</w:t>
      </w:r>
    </w:p>
    <w:p w:rsidR="00012353" w:rsidRDefault="00012353" w:rsidP="004268C4">
      <w:p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60"/>
        <w:ind w:firstLine="567"/>
        <w:jc w:val="both"/>
      </w:pPr>
      <w:r w:rsidRPr="00265D5C">
        <w:rPr>
          <w:b/>
        </w:rPr>
        <w:t xml:space="preserve">ІІІ. </w:t>
      </w:r>
      <w:r w:rsidR="006D44D5" w:rsidRPr="00265D5C">
        <w:t xml:space="preserve"> </w:t>
      </w:r>
      <w:r w:rsidRPr="00265D5C">
        <w:t>Мінфін визначає бюджетний простір на кожний рік середньострокового періоду порівнюючи прогнозний обсяг витрат з базовим обсягом витрат</w:t>
      </w:r>
      <w:r w:rsidR="00D80A0E" w:rsidRPr="00265D5C">
        <w:t xml:space="preserve">. </w:t>
      </w:r>
    </w:p>
    <w:p w:rsidR="00012353" w:rsidRPr="00265D5C" w:rsidRDefault="00012353" w:rsidP="00193B22">
      <w:p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60"/>
        <w:ind w:firstLine="567"/>
        <w:jc w:val="both"/>
      </w:pPr>
      <w:r w:rsidRPr="00265D5C">
        <w:t xml:space="preserve">Різниця між цими показниками є бюджетним простором. </w:t>
      </w:r>
    </w:p>
    <w:p w:rsidR="00012353" w:rsidRPr="00265D5C" w:rsidRDefault="00012353" w:rsidP="004268C4">
      <w:pPr>
        <w:pStyle w:val="ab"/>
        <w:tabs>
          <w:tab w:val="left" w:pos="567"/>
          <w:tab w:val="left" w:pos="851"/>
          <w:tab w:val="left" w:pos="993"/>
          <w:tab w:val="left" w:pos="1134"/>
        </w:tabs>
        <w:spacing w:after="6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D5C">
        <w:rPr>
          <w:rFonts w:ascii="Times New Roman" w:hAnsi="Times New Roman"/>
          <w:sz w:val="24"/>
          <w:szCs w:val="24"/>
          <w:lang w:eastAsia="ru-RU"/>
        </w:rPr>
        <w:t>Якщо базовий обсяг витрат менший за прогнозний обсяг витрат, має місце позитивний бюджетний простір. Відповідний обсяг коштів може бути використаний для створення у середньостроковому бюджетному періоді резерву для покриття у наступних бюджетних періодах непередбачуваних видатків, змін макроекономічного прогнозу, на реалізацію нових політик.</w:t>
      </w:r>
    </w:p>
    <w:p w:rsidR="00012353" w:rsidRPr="00265D5C" w:rsidRDefault="00012353" w:rsidP="004268C4">
      <w:pPr>
        <w:pStyle w:val="rvps2"/>
        <w:shd w:val="clear" w:color="auto" w:fill="FFFFFF"/>
        <w:spacing w:before="0" w:beforeAutospacing="0" w:after="60" w:afterAutospacing="0"/>
        <w:ind w:firstLine="567"/>
        <w:jc w:val="both"/>
        <w:rPr>
          <w:rFonts w:eastAsiaTheme="minorHAnsi"/>
          <w:lang w:eastAsia="en-US"/>
        </w:rPr>
      </w:pPr>
      <w:r w:rsidRPr="00265D5C">
        <w:rPr>
          <w:lang w:eastAsia="ru-RU"/>
        </w:rPr>
        <w:t xml:space="preserve">Якщо базовий обсяг витрат перевищує прогнозний базовий обсяг витрат, має місце від’ємний бюджетний простір, що потребує </w:t>
      </w:r>
      <w:r w:rsidRPr="00265D5C">
        <w:rPr>
          <w:rFonts w:eastAsiaTheme="minorHAnsi"/>
          <w:lang w:eastAsia="en-US"/>
        </w:rPr>
        <w:t xml:space="preserve">здійснення коригувальних заходів </w:t>
      </w:r>
      <w:r w:rsidRPr="00265D5C">
        <w:rPr>
          <w:shd w:val="clear" w:color="auto" w:fill="FFFFFF"/>
        </w:rPr>
        <w:t>скорочення витрат державного бюджету та / або збільшення ресурсів державного бюджету</w:t>
      </w:r>
      <w:r w:rsidRPr="00265D5C">
        <w:rPr>
          <w:rFonts w:eastAsiaTheme="minorHAnsi"/>
          <w:lang w:eastAsia="en-US"/>
        </w:rPr>
        <w:t xml:space="preserve"> для забезпечення збалансування показників державного бюджету на відповідний рік середньострокового періоду.</w:t>
      </w:r>
    </w:p>
    <w:p w:rsidR="00012353" w:rsidRPr="00265D5C" w:rsidRDefault="00012353" w:rsidP="004268C4">
      <w:pPr>
        <w:pStyle w:val="ab"/>
        <w:tabs>
          <w:tab w:val="left" w:pos="567"/>
          <w:tab w:val="left" w:pos="710"/>
          <w:tab w:val="left" w:pos="851"/>
        </w:tabs>
        <w:spacing w:after="6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D5C">
        <w:rPr>
          <w:rFonts w:ascii="Times New Roman" w:hAnsi="Times New Roman"/>
          <w:sz w:val="24"/>
          <w:szCs w:val="24"/>
          <w:shd w:val="clear" w:color="auto" w:fill="FFFFFF"/>
        </w:rPr>
        <w:t>За будь-якої величини бюджетного простору (позитивної, нульової, від’ємної) можуть здійснюватися коригувальні заходи щодо витрат бюджету, які зокрема передбачають:</w:t>
      </w:r>
    </w:p>
    <w:p w:rsidR="00012353" w:rsidRPr="00265D5C" w:rsidRDefault="00012353" w:rsidP="004268C4">
      <w:pPr>
        <w:tabs>
          <w:tab w:val="left" w:pos="567"/>
          <w:tab w:val="left" w:pos="710"/>
          <w:tab w:val="left" w:pos="851"/>
        </w:tabs>
        <w:spacing w:after="60"/>
        <w:ind w:firstLine="567"/>
        <w:jc w:val="both"/>
        <w:rPr>
          <w:shd w:val="clear" w:color="auto" w:fill="FFFFFF"/>
        </w:rPr>
      </w:pPr>
      <w:r w:rsidRPr="00265D5C">
        <w:rPr>
          <w:shd w:val="clear" w:color="auto" w:fill="FFFFFF"/>
        </w:rPr>
        <w:t>розроблення нової політики, яка передбачатиме зміну механізму реалізації політики з метою економії бюджетних коштів та/або підвищення ефективності реалізації відповідної політики;</w:t>
      </w:r>
      <w:r w:rsidRPr="00265D5C" w:rsidDel="00CC7F09">
        <w:rPr>
          <w:shd w:val="clear" w:color="auto" w:fill="FFFFFF"/>
        </w:rPr>
        <w:t xml:space="preserve"> </w:t>
      </w:r>
    </w:p>
    <w:p w:rsidR="00012353" w:rsidRPr="00265D5C" w:rsidRDefault="00012353" w:rsidP="004268C4">
      <w:pPr>
        <w:tabs>
          <w:tab w:val="left" w:pos="567"/>
          <w:tab w:val="left" w:pos="710"/>
          <w:tab w:val="left" w:pos="851"/>
        </w:tabs>
        <w:spacing w:after="60"/>
        <w:ind w:firstLine="567"/>
        <w:jc w:val="both"/>
        <w:rPr>
          <w:shd w:val="clear" w:color="auto" w:fill="FFFFFF"/>
        </w:rPr>
      </w:pPr>
      <w:r w:rsidRPr="00265D5C">
        <w:rPr>
          <w:shd w:val="clear" w:color="auto" w:fill="FFFFFF"/>
        </w:rPr>
        <w:t>скорочення непершочергових та непріоритетних, насамперед в період дії воєнного стану, витрат.</w:t>
      </w:r>
    </w:p>
    <w:p w:rsidR="00012353" w:rsidRPr="00265D5C" w:rsidRDefault="00012353" w:rsidP="004268C4">
      <w:pPr>
        <w:pStyle w:val="ab"/>
        <w:tabs>
          <w:tab w:val="left" w:pos="567"/>
          <w:tab w:val="left" w:pos="710"/>
          <w:tab w:val="left" w:pos="851"/>
        </w:tabs>
        <w:spacing w:after="6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5D5C">
        <w:rPr>
          <w:rFonts w:ascii="Times New Roman" w:hAnsi="Times New Roman"/>
          <w:sz w:val="24"/>
          <w:szCs w:val="24"/>
          <w:shd w:val="clear" w:color="auto" w:fill="FFFFFF"/>
        </w:rPr>
        <w:t>Пропозиції щодо коригувальних заходів можуть ініціювати як головні розпорядники, так і Мінфін.</w:t>
      </w:r>
    </w:p>
    <w:p w:rsidR="00012353" w:rsidRPr="00265D5C" w:rsidRDefault="00012353" w:rsidP="004268C4">
      <w:pPr>
        <w:pStyle w:val="ab"/>
        <w:tabs>
          <w:tab w:val="left" w:pos="567"/>
          <w:tab w:val="left" w:pos="851"/>
          <w:tab w:val="left" w:pos="993"/>
          <w:tab w:val="left" w:pos="1134"/>
        </w:tabs>
        <w:spacing w:after="6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D5C">
        <w:rPr>
          <w:rFonts w:ascii="Times New Roman" w:hAnsi="Times New Roman"/>
          <w:sz w:val="24"/>
          <w:szCs w:val="24"/>
          <w:lang w:eastAsia="ru-RU"/>
        </w:rPr>
        <w:t xml:space="preserve">Коригувальні заходи, </w:t>
      </w:r>
      <w:r w:rsidR="00981F73">
        <w:rPr>
          <w:rFonts w:ascii="Times New Roman" w:hAnsi="Times New Roman"/>
          <w:sz w:val="24"/>
          <w:szCs w:val="24"/>
          <w:lang w:eastAsia="ru-RU"/>
        </w:rPr>
        <w:t xml:space="preserve">які будуть </w:t>
      </w:r>
      <w:r w:rsidRPr="00265D5C">
        <w:rPr>
          <w:rFonts w:ascii="Times New Roman" w:hAnsi="Times New Roman"/>
          <w:sz w:val="24"/>
          <w:szCs w:val="24"/>
          <w:lang w:eastAsia="ru-RU"/>
        </w:rPr>
        <w:t>враховані Мінфіном під час визначення орієнтовних граничних показників, можуть передбачати фінансові обмеження, яких зобов’язані дотримуватися усі головні розпорядники під час підготовки бюджетних пропозицій.</w:t>
      </w:r>
    </w:p>
    <w:p w:rsidR="002560D9" w:rsidRPr="00F650B4" w:rsidRDefault="00357C0C" w:rsidP="004268C4">
      <w:pPr>
        <w:spacing w:after="60"/>
        <w:ind w:firstLine="567"/>
        <w:jc w:val="both"/>
        <w:rPr>
          <w:b/>
          <w:sz w:val="20"/>
          <w:szCs w:val="20"/>
        </w:rPr>
      </w:pPr>
      <w:r>
        <w:t>Отже головні розпорядники мають виважено підійти до надання необхідної інформації для обрахунку середньострокових бюджетних показників</w:t>
      </w:r>
      <w:r w:rsidR="00C15BAA">
        <w:t>.</w:t>
      </w:r>
      <w:r>
        <w:t xml:space="preserve"> </w:t>
      </w:r>
      <w:r w:rsidR="00EC6BEB" w:rsidRPr="00265D5C">
        <w:t xml:space="preserve">Запровадження нових підходів </w:t>
      </w:r>
      <w:r w:rsidR="00C15BAA">
        <w:t xml:space="preserve">буде </w:t>
      </w:r>
      <w:r w:rsidR="00EC6BEB" w:rsidRPr="00265D5C">
        <w:t xml:space="preserve">спрямовано на посилення системи середньострокового бюджетного планування, забезпечення </w:t>
      </w:r>
      <w:r w:rsidR="00EC6BEB" w:rsidRPr="00265D5C">
        <w:rPr>
          <w:rFonts w:eastAsia="Calibri"/>
        </w:rPr>
        <w:t>стійкості та ефективності системи управління державними фінансами</w:t>
      </w:r>
      <w:r w:rsidR="00EC6BEB" w:rsidRPr="00265D5C">
        <w:t>. Результати реалізації реформи</w:t>
      </w:r>
      <w:r w:rsidR="00EC6BEB" w:rsidRPr="00265D5C" w:rsidDel="00EA2A35">
        <w:t xml:space="preserve"> </w:t>
      </w:r>
      <w:r w:rsidR="00EC6BEB" w:rsidRPr="00265D5C">
        <w:t>та практичний досвід використовуватимуться для подальшого розвитку бюджетної системи та забезпечення потреб відновлення України</w:t>
      </w:r>
      <w:r w:rsidR="00EC6BEB" w:rsidRPr="00265D5C">
        <w:rPr>
          <w:rFonts w:eastAsia="Calibri"/>
        </w:rPr>
        <w:t>.</w:t>
      </w:r>
    </w:p>
    <w:sectPr w:rsidR="002560D9" w:rsidRPr="00F650B4" w:rsidSect="00AD422E">
      <w:headerReference w:type="default" r:id="rId8"/>
      <w:pgSz w:w="11906" w:h="16838"/>
      <w:pgMar w:top="709" w:right="567" w:bottom="1135" w:left="1701" w:header="426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478" w:rsidRDefault="005F6478" w:rsidP="00E24D84">
      <w:r>
        <w:separator/>
      </w:r>
    </w:p>
  </w:endnote>
  <w:endnote w:type="continuationSeparator" w:id="0">
    <w:p w:rsidR="005F6478" w:rsidRDefault="005F6478" w:rsidP="00E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478" w:rsidRDefault="005F6478" w:rsidP="00E24D84">
      <w:r>
        <w:separator/>
      </w:r>
    </w:p>
  </w:footnote>
  <w:footnote w:type="continuationSeparator" w:id="0">
    <w:p w:rsidR="005F6478" w:rsidRDefault="005F6478" w:rsidP="00E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032" w:rsidRDefault="0007403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6E57">
      <w:rPr>
        <w:noProof/>
      </w:rPr>
      <w:t>2</w:t>
    </w:r>
    <w:r>
      <w:fldChar w:fldCharType="end"/>
    </w:r>
  </w:p>
  <w:p w:rsidR="00FC72CB" w:rsidRDefault="00FC72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31F7"/>
    <w:multiLevelType w:val="hybridMultilevel"/>
    <w:tmpl w:val="727A1278"/>
    <w:lvl w:ilvl="0" w:tplc="1E2E24C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A41F7A"/>
    <w:multiLevelType w:val="multilevel"/>
    <w:tmpl w:val="73920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53E2753"/>
    <w:multiLevelType w:val="hybridMultilevel"/>
    <w:tmpl w:val="629A41EC"/>
    <w:lvl w:ilvl="0" w:tplc="3A60053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1B2E643E"/>
    <w:multiLevelType w:val="hybridMultilevel"/>
    <w:tmpl w:val="5C22E4A0"/>
    <w:lvl w:ilvl="0" w:tplc="54B0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BF14E4"/>
    <w:multiLevelType w:val="multilevel"/>
    <w:tmpl w:val="6E0A14A2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907" w:hanging="360"/>
      </w:pPr>
    </w:lvl>
    <w:lvl w:ilvl="2">
      <w:start w:val="1"/>
      <w:numFmt w:val="decimal"/>
      <w:isLgl/>
      <w:lvlText w:val="%1.%2.%3."/>
      <w:lvlJc w:val="left"/>
      <w:pPr>
        <w:ind w:left="-1405" w:hanging="720"/>
      </w:pPr>
    </w:lvl>
    <w:lvl w:ilvl="3">
      <w:start w:val="1"/>
      <w:numFmt w:val="decimal"/>
      <w:isLgl/>
      <w:lvlText w:val="%1.%2.%3.%4."/>
      <w:lvlJc w:val="left"/>
      <w:pPr>
        <w:ind w:left="-1405" w:hanging="720"/>
      </w:pPr>
    </w:lvl>
    <w:lvl w:ilvl="4">
      <w:start w:val="1"/>
      <w:numFmt w:val="decimal"/>
      <w:isLgl/>
      <w:lvlText w:val="%1.%2.%3.%4.%5."/>
      <w:lvlJc w:val="left"/>
      <w:pPr>
        <w:ind w:left="-1045" w:hanging="1080"/>
      </w:pPr>
    </w:lvl>
    <w:lvl w:ilvl="5">
      <w:start w:val="1"/>
      <w:numFmt w:val="decimal"/>
      <w:isLgl/>
      <w:lvlText w:val="%1.%2.%3.%4.%5.%6."/>
      <w:lvlJc w:val="left"/>
      <w:pPr>
        <w:ind w:left="-1045" w:hanging="1080"/>
      </w:pPr>
    </w:lvl>
    <w:lvl w:ilvl="6">
      <w:start w:val="1"/>
      <w:numFmt w:val="decimal"/>
      <w:isLgl/>
      <w:lvlText w:val="%1.%2.%3.%4.%5.%6.%7."/>
      <w:lvlJc w:val="left"/>
      <w:pPr>
        <w:ind w:left="-685" w:hanging="1440"/>
      </w:pPr>
    </w:lvl>
    <w:lvl w:ilvl="7">
      <w:start w:val="1"/>
      <w:numFmt w:val="decimal"/>
      <w:isLgl/>
      <w:lvlText w:val="%1.%2.%3.%4.%5.%6.%7.%8."/>
      <w:lvlJc w:val="left"/>
      <w:pPr>
        <w:ind w:left="-685" w:hanging="1440"/>
      </w:pPr>
    </w:lvl>
    <w:lvl w:ilvl="8">
      <w:start w:val="1"/>
      <w:numFmt w:val="decimal"/>
      <w:isLgl/>
      <w:lvlText w:val="%1.%2.%3.%4.%5.%6.%7.%8.%9."/>
      <w:lvlJc w:val="left"/>
      <w:pPr>
        <w:ind w:left="-325" w:hanging="1800"/>
      </w:pPr>
    </w:lvl>
  </w:abstractNum>
  <w:abstractNum w:abstractNumId="5" w15:restartNumberingAfterBreak="0">
    <w:nsid w:val="24A041C1"/>
    <w:multiLevelType w:val="hybridMultilevel"/>
    <w:tmpl w:val="3166892C"/>
    <w:lvl w:ilvl="0" w:tplc="10FC07E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242BD6"/>
    <w:multiLevelType w:val="hybridMultilevel"/>
    <w:tmpl w:val="1132FC4A"/>
    <w:lvl w:ilvl="0" w:tplc="0422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5BF11C5"/>
    <w:multiLevelType w:val="hybridMultilevel"/>
    <w:tmpl w:val="F0488188"/>
    <w:lvl w:ilvl="0" w:tplc="295AB07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EB43A9"/>
    <w:multiLevelType w:val="hybridMultilevel"/>
    <w:tmpl w:val="C12E8370"/>
    <w:lvl w:ilvl="0" w:tplc="295AB07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CE71BE5"/>
    <w:multiLevelType w:val="hybridMultilevel"/>
    <w:tmpl w:val="CF128600"/>
    <w:lvl w:ilvl="0" w:tplc="CA187E00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6F6C46"/>
    <w:multiLevelType w:val="hybridMultilevel"/>
    <w:tmpl w:val="ABF0A5D4"/>
    <w:lvl w:ilvl="0" w:tplc="295AB07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E4D2D18"/>
    <w:multiLevelType w:val="hybridMultilevel"/>
    <w:tmpl w:val="BF74445C"/>
    <w:lvl w:ilvl="0" w:tplc="EBBE94FC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4E600054"/>
    <w:multiLevelType w:val="hybridMultilevel"/>
    <w:tmpl w:val="166ECBF8"/>
    <w:lvl w:ilvl="0" w:tplc="E2C42B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586B37"/>
    <w:multiLevelType w:val="hybridMultilevel"/>
    <w:tmpl w:val="1350249A"/>
    <w:lvl w:ilvl="0" w:tplc="66D6B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40679D"/>
    <w:multiLevelType w:val="hybridMultilevel"/>
    <w:tmpl w:val="16ECD3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CE7D23"/>
    <w:multiLevelType w:val="multilevel"/>
    <w:tmpl w:val="6E0A14A2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6" w15:restartNumberingAfterBreak="0">
    <w:nsid w:val="69024A41"/>
    <w:multiLevelType w:val="hybridMultilevel"/>
    <w:tmpl w:val="FD428C6E"/>
    <w:lvl w:ilvl="0" w:tplc="A3CE93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D5A4B40"/>
    <w:multiLevelType w:val="hybridMultilevel"/>
    <w:tmpl w:val="BD8E8C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47516"/>
    <w:multiLevelType w:val="hybridMultilevel"/>
    <w:tmpl w:val="02FCCD0C"/>
    <w:lvl w:ilvl="0" w:tplc="5AF879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5"/>
  </w:num>
  <w:num w:numId="13">
    <w:abstractNumId w:val="18"/>
  </w:num>
  <w:num w:numId="14">
    <w:abstractNumId w:val="11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F3"/>
    <w:rsid w:val="000111F1"/>
    <w:rsid w:val="00012353"/>
    <w:rsid w:val="0001371E"/>
    <w:rsid w:val="0001447C"/>
    <w:rsid w:val="00015232"/>
    <w:rsid w:val="00022E2E"/>
    <w:rsid w:val="0002446F"/>
    <w:rsid w:val="00025C5F"/>
    <w:rsid w:val="00032078"/>
    <w:rsid w:val="00032690"/>
    <w:rsid w:val="00034C62"/>
    <w:rsid w:val="00035E80"/>
    <w:rsid w:val="0003693D"/>
    <w:rsid w:val="00040038"/>
    <w:rsid w:val="00040EBC"/>
    <w:rsid w:val="00046769"/>
    <w:rsid w:val="00050B81"/>
    <w:rsid w:val="000510B1"/>
    <w:rsid w:val="00051C8D"/>
    <w:rsid w:val="00053F97"/>
    <w:rsid w:val="000552CC"/>
    <w:rsid w:val="000630DD"/>
    <w:rsid w:val="0006333D"/>
    <w:rsid w:val="000701DD"/>
    <w:rsid w:val="00073D47"/>
    <w:rsid w:val="00074032"/>
    <w:rsid w:val="00074484"/>
    <w:rsid w:val="000752A2"/>
    <w:rsid w:val="0007799A"/>
    <w:rsid w:val="000809F8"/>
    <w:rsid w:val="00081948"/>
    <w:rsid w:val="00081CAC"/>
    <w:rsid w:val="0008475F"/>
    <w:rsid w:val="000864F4"/>
    <w:rsid w:val="00086B7A"/>
    <w:rsid w:val="00092595"/>
    <w:rsid w:val="000952EB"/>
    <w:rsid w:val="00096245"/>
    <w:rsid w:val="00096B61"/>
    <w:rsid w:val="000A21D4"/>
    <w:rsid w:val="000B382D"/>
    <w:rsid w:val="000C0323"/>
    <w:rsid w:val="000C5732"/>
    <w:rsid w:val="000C5D34"/>
    <w:rsid w:val="000C7D75"/>
    <w:rsid w:val="000D7A13"/>
    <w:rsid w:val="000D7E83"/>
    <w:rsid w:val="000F72AF"/>
    <w:rsid w:val="00101222"/>
    <w:rsid w:val="00103795"/>
    <w:rsid w:val="00107494"/>
    <w:rsid w:val="001103D1"/>
    <w:rsid w:val="00111CF4"/>
    <w:rsid w:val="00114C72"/>
    <w:rsid w:val="0012357B"/>
    <w:rsid w:val="00132005"/>
    <w:rsid w:val="00132A8D"/>
    <w:rsid w:val="00133533"/>
    <w:rsid w:val="00133CB1"/>
    <w:rsid w:val="00137428"/>
    <w:rsid w:val="00141E6C"/>
    <w:rsid w:val="00144F13"/>
    <w:rsid w:val="00145378"/>
    <w:rsid w:val="0014697A"/>
    <w:rsid w:val="00147BD3"/>
    <w:rsid w:val="001509A2"/>
    <w:rsid w:val="001518F8"/>
    <w:rsid w:val="00152BE0"/>
    <w:rsid w:val="00162506"/>
    <w:rsid w:val="00165686"/>
    <w:rsid w:val="001743AF"/>
    <w:rsid w:val="0017535F"/>
    <w:rsid w:val="00185550"/>
    <w:rsid w:val="00186335"/>
    <w:rsid w:val="00190698"/>
    <w:rsid w:val="00190B99"/>
    <w:rsid w:val="00192F64"/>
    <w:rsid w:val="00193A40"/>
    <w:rsid w:val="00193B22"/>
    <w:rsid w:val="00194B2A"/>
    <w:rsid w:val="00197256"/>
    <w:rsid w:val="001A3CC3"/>
    <w:rsid w:val="001A6B35"/>
    <w:rsid w:val="001C01F8"/>
    <w:rsid w:val="001C1502"/>
    <w:rsid w:val="001C4F57"/>
    <w:rsid w:val="001D1F4F"/>
    <w:rsid w:val="001D1F82"/>
    <w:rsid w:val="001D2D40"/>
    <w:rsid w:val="0020390E"/>
    <w:rsid w:val="002150C0"/>
    <w:rsid w:val="0021610A"/>
    <w:rsid w:val="00224320"/>
    <w:rsid w:val="002250A2"/>
    <w:rsid w:val="00226F2C"/>
    <w:rsid w:val="00233F84"/>
    <w:rsid w:val="0024207C"/>
    <w:rsid w:val="0024234C"/>
    <w:rsid w:val="00243345"/>
    <w:rsid w:val="0024494E"/>
    <w:rsid w:val="00255866"/>
    <w:rsid w:val="002560D9"/>
    <w:rsid w:val="00256EE2"/>
    <w:rsid w:val="00262720"/>
    <w:rsid w:val="0026436F"/>
    <w:rsid w:val="00265D5C"/>
    <w:rsid w:val="00270E1D"/>
    <w:rsid w:val="00273127"/>
    <w:rsid w:val="00273CCC"/>
    <w:rsid w:val="00275F2A"/>
    <w:rsid w:val="00276A52"/>
    <w:rsid w:val="00277FB4"/>
    <w:rsid w:val="00280B15"/>
    <w:rsid w:val="00283359"/>
    <w:rsid w:val="002859E4"/>
    <w:rsid w:val="00291CAE"/>
    <w:rsid w:val="00292964"/>
    <w:rsid w:val="002A06EC"/>
    <w:rsid w:val="002A0E3A"/>
    <w:rsid w:val="002A1FC0"/>
    <w:rsid w:val="002A2B99"/>
    <w:rsid w:val="002A4934"/>
    <w:rsid w:val="002A7AC1"/>
    <w:rsid w:val="002B1600"/>
    <w:rsid w:val="002B5FFD"/>
    <w:rsid w:val="002C0CE1"/>
    <w:rsid w:val="002C1BD4"/>
    <w:rsid w:val="002C1EDE"/>
    <w:rsid w:val="002D0E87"/>
    <w:rsid w:val="002F2A3B"/>
    <w:rsid w:val="002F5E58"/>
    <w:rsid w:val="00300A23"/>
    <w:rsid w:val="0030446A"/>
    <w:rsid w:val="00305C6A"/>
    <w:rsid w:val="00313CAF"/>
    <w:rsid w:val="00313EA7"/>
    <w:rsid w:val="00316A2D"/>
    <w:rsid w:val="00316BFC"/>
    <w:rsid w:val="0032174B"/>
    <w:rsid w:val="003232A6"/>
    <w:rsid w:val="00325A25"/>
    <w:rsid w:val="003261DD"/>
    <w:rsid w:val="003274C6"/>
    <w:rsid w:val="0033105E"/>
    <w:rsid w:val="0033113B"/>
    <w:rsid w:val="00331E2E"/>
    <w:rsid w:val="00342B4E"/>
    <w:rsid w:val="003474F3"/>
    <w:rsid w:val="003476AE"/>
    <w:rsid w:val="00347794"/>
    <w:rsid w:val="00347CFE"/>
    <w:rsid w:val="00353626"/>
    <w:rsid w:val="00357C0C"/>
    <w:rsid w:val="00361942"/>
    <w:rsid w:val="00362776"/>
    <w:rsid w:val="00371739"/>
    <w:rsid w:val="003718BD"/>
    <w:rsid w:val="00373EA3"/>
    <w:rsid w:val="003777AF"/>
    <w:rsid w:val="00380D88"/>
    <w:rsid w:val="003810D7"/>
    <w:rsid w:val="003827D6"/>
    <w:rsid w:val="00384F10"/>
    <w:rsid w:val="00386219"/>
    <w:rsid w:val="003909B2"/>
    <w:rsid w:val="00390C27"/>
    <w:rsid w:val="00391584"/>
    <w:rsid w:val="0039163B"/>
    <w:rsid w:val="003927DF"/>
    <w:rsid w:val="003A7D62"/>
    <w:rsid w:val="003B109F"/>
    <w:rsid w:val="003B2B49"/>
    <w:rsid w:val="003B2D3B"/>
    <w:rsid w:val="003D3D6E"/>
    <w:rsid w:val="003D4971"/>
    <w:rsid w:val="003D6DD9"/>
    <w:rsid w:val="003E1E5D"/>
    <w:rsid w:val="003F4419"/>
    <w:rsid w:val="003F4DDE"/>
    <w:rsid w:val="003F51CC"/>
    <w:rsid w:val="003F6D47"/>
    <w:rsid w:val="0040075F"/>
    <w:rsid w:val="00400F91"/>
    <w:rsid w:val="00401534"/>
    <w:rsid w:val="0040515B"/>
    <w:rsid w:val="004071D5"/>
    <w:rsid w:val="0041113F"/>
    <w:rsid w:val="004123CD"/>
    <w:rsid w:val="0041358C"/>
    <w:rsid w:val="00415B6A"/>
    <w:rsid w:val="00420AF1"/>
    <w:rsid w:val="004254F6"/>
    <w:rsid w:val="004268C4"/>
    <w:rsid w:val="00426BD8"/>
    <w:rsid w:val="00440360"/>
    <w:rsid w:val="00451C7D"/>
    <w:rsid w:val="004526E4"/>
    <w:rsid w:val="0045496A"/>
    <w:rsid w:val="004571E4"/>
    <w:rsid w:val="00461A17"/>
    <w:rsid w:val="0047009A"/>
    <w:rsid w:val="00476426"/>
    <w:rsid w:val="0048296F"/>
    <w:rsid w:val="00482B59"/>
    <w:rsid w:val="00487C7C"/>
    <w:rsid w:val="00490292"/>
    <w:rsid w:val="00492DF1"/>
    <w:rsid w:val="004A1E03"/>
    <w:rsid w:val="004A214D"/>
    <w:rsid w:val="004A38D4"/>
    <w:rsid w:val="004B1CF6"/>
    <w:rsid w:val="004B717F"/>
    <w:rsid w:val="004B7BB0"/>
    <w:rsid w:val="004C3D6C"/>
    <w:rsid w:val="004C4363"/>
    <w:rsid w:val="004C4886"/>
    <w:rsid w:val="004D09B7"/>
    <w:rsid w:val="004D0B32"/>
    <w:rsid w:val="004E5A6B"/>
    <w:rsid w:val="004F36D8"/>
    <w:rsid w:val="00502012"/>
    <w:rsid w:val="0050281F"/>
    <w:rsid w:val="00506B7E"/>
    <w:rsid w:val="005076C6"/>
    <w:rsid w:val="00522CAA"/>
    <w:rsid w:val="005239AE"/>
    <w:rsid w:val="00535AD4"/>
    <w:rsid w:val="00537EFE"/>
    <w:rsid w:val="00544722"/>
    <w:rsid w:val="00544F68"/>
    <w:rsid w:val="0054611A"/>
    <w:rsid w:val="005529D5"/>
    <w:rsid w:val="00553DF4"/>
    <w:rsid w:val="0055773E"/>
    <w:rsid w:val="00557FA9"/>
    <w:rsid w:val="00570D9A"/>
    <w:rsid w:val="0057600F"/>
    <w:rsid w:val="005819C9"/>
    <w:rsid w:val="00593FA8"/>
    <w:rsid w:val="005A1994"/>
    <w:rsid w:val="005A1B21"/>
    <w:rsid w:val="005A4CFE"/>
    <w:rsid w:val="005B3E3C"/>
    <w:rsid w:val="005B5A89"/>
    <w:rsid w:val="005C38BD"/>
    <w:rsid w:val="005C7FD8"/>
    <w:rsid w:val="005D28AE"/>
    <w:rsid w:val="005D3701"/>
    <w:rsid w:val="005D513A"/>
    <w:rsid w:val="005D5474"/>
    <w:rsid w:val="005E050E"/>
    <w:rsid w:val="005E0896"/>
    <w:rsid w:val="005E5616"/>
    <w:rsid w:val="005E7CEA"/>
    <w:rsid w:val="005E7F31"/>
    <w:rsid w:val="005F054D"/>
    <w:rsid w:val="005F2345"/>
    <w:rsid w:val="005F25F7"/>
    <w:rsid w:val="005F3077"/>
    <w:rsid w:val="005F40C0"/>
    <w:rsid w:val="005F5381"/>
    <w:rsid w:val="005F6478"/>
    <w:rsid w:val="0060312A"/>
    <w:rsid w:val="00610B9F"/>
    <w:rsid w:val="00613AFE"/>
    <w:rsid w:val="006149A2"/>
    <w:rsid w:val="00627706"/>
    <w:rsid w:val="00627900"/>
    <w:rsid w:val="00632674"/>
    <w:rsid w:val="0063274A"/>
    <w:rsid w:val="00633016"/>
    <w:rsid w:val="00634119"/>
    <w:rsid w:val="00637506"/>
    <w:rsid w:val="00642826"/>
    <w:rsid w:val="006525D5"/>
    <w:rsid w:val="006559FF"/>
    <w:rsid w:val="006577BE"/>
    <w:rsid w:val="00657C58"/>
    <w:rsid w:val="006629CE"/>
    <w:rsid w:val="0066367F"/>
    <w:rsid w:val="00665FD4"/>
    <w:rsid w:val="00666F13"/>
    <w:rsid w:val="006676D7"/>
    <w:rsid w:val="00667E4C"/>
    <w:rsid w:val="00672D36"/>
    <w:rsid w:val="006754AA"/>
    <w:rsid w:val="00676059"/>
    <w:rsid w:val="006931A6"/>
    <w:rsid w:val="00693691"/>
    <w:rsid w:val="00693BBA"/>
    <w:rsid w:val="006A4A24"/>
    <w:rsid w:val="006A5E17"/>
    <w:rsid w:val="006A7188"/>
    <w:rsid w:val="006B0EBD"/>
    <w:rsid w:val="006B2956"/>
    <w:rsid w:val="006B45BC"/>
    <w:rsid w:val="006B53D9"/>
    <w:rsid w:val="006C0471"/>
    <w:rsid w:val="006C355C"/>
    <w:rsid w:val="006D44D5"/>
    <w:rsid w:val="006D64B7"/>
    <w:rsid w:val="006E01FA"/>
    <w:rsid w:val="006F18B8"/>
    <w:rsid w:val="006F1FB1"/>
    <w:rsid w:val="00710B13"/>
    <w:rsid w:val="00716742"/>
    <w:rsid w:val="00717D31"/>
    <w:rsid w:val="00720DFB"/>
    <w:rsid w:val="00724857"/>
    <w:rsid w:val="007321C8"/>
    <w:rsid w:val="00734E17"/>
    <w:rsid w:val="007373F9"/>
    <w:rsid w:val="007402BF"/>
    <w:rsid w:val="0074084F"/>
    <w:rsid w:val="00742C9C"/>
    <w:rsid w:val="007454A6"/>
    <w:rsid w:val="00746346"/>
    <w:rsid w:val="00747ED4"/>
    <w:rsid w:val="00751847"/>
    <w:rsid w:val="00753EE0"/>
    <w:rsid w:val="00761956"/>
    <w:rsid w:val="00765C67"/>
    <w:rsid w:val="0076604B"/>
    <w:rsid w:val="007756D7"/>
    <w:rsid w:val="00780151"/>
    <w:rsid w:val="00780417"/>
    <w:rsid w:val="00780487"/>
    <w:rsid w:val="00785D3D"/>
    <w:rsid w:val="00786F7B"/>
    <w:rsid w:val="00790CC7"/>
    <w:rsid w:val="007918F8"/>
    <w:rsid w:val="007960E6"/>
    <w:rsid w:val="007A36E6"/>
    <w:rsid w:val="007A424F"/>
    <w:rsid w:val="007B1985"/>
    <w:rsid w:val="007B269E"/>
    <w:rsid w:val="007B36D2"/>
    <w:rsid w:val="007B43DA"/>
    <w:rsid w:val="007C2CEA"/>
    <w:rsid w:val="007C7EE3"/>
    <w:rsid w:val="007D5F56"/>
    <w:rsid w:val="007D7EE0"/>
    <w:rsid w:val="007E4BF1"/>
    <w:rsid w:val="007E60F7"/>
    <w:rsid w:val="007F0739"/>
    <w:rsid w:val="007F11CF"/>
    <w:rsid w:val="007F4203"/>
    <w:rsid w:val="0080745E"/>
    <w:rsid w:val="00807CB1"/>
    <w:rsid w:val="00816FA3"/>
    <w:rsid w:val="0082694A"/>
    <w:rsid w:val="0082786C"/>
    <w:rsid w:val="0083090C"/>
    <w:rsid w:val="008312C9"/>
    <w:rsid w:val="00831839"/>
    <w:rsid w:val="00832387"/>
    <w:rsid w:val="0083675C"/>
    <w:rsid w:val="00845D0B"/>
    <w:rsid w:val="00852FA3"/>
    <w:rsid w:val="00857023"/>
    <w:rsid w:val="008633A8"/>
    <w:rsid w:val="008648F1"/>
    <w:rsid w:val="00870BE9"/>
    <w:rsid w:val="008729B7"/>
    <w:rsid w:val="00877560"/>
    <w:rsid w:val="00882134"/>
    <w:rsid w:val="00882EE3"/>
    <w:rsid w:val="0088492B"/>
    <w:rsid w:val="0089247C"/>
    <w:rsid w:val="00892F1F"/>
    <w:rsid w:val="00893746"/>
    <w:rsid w:val="008944BD"/>
    <w:rsid w:val="008A3E4C"/>
    <w:rsid w:val="008B0492"/>
    <w:rsid w:val="008B2983"/>
    <w:rsid w:val="008B53C7"/>
    <w:rsid w:val="008B5A06"/>
    <w:rsid w:val="008B7D83"/>
    <w:rsid w:val="008C1590"/>
    <w:rsid w:val="008C4CFC"/>
    <w:rsid w:val="008D12DC"/>
    <w:rsid w:val="008D19DA"/>
    <w:rsid w:val="008E23EF"/>
    <w:rsid w:val="008E2F39"/>
    <w:rsid w:val="008E6A35"/>
    <w:rsid w:val="008E74DB"/>
    <w:rsid w:val="008F05B3"/>
    <w:rsid w:val="008F05D2"/>
    <w:rsid w:val="008F359F"/>
    <w:rsid w:val="008F36D0"/>
    <w:rsid w:val="008F423B"/>
    <w:rsid w:val="0090003E"/>
    <w:rsid w:val="0090083F"/>
    <w:rsid w:val="00900EC0"/>
    <w:rsid w:val="009020D2"/>
    <w:rsid w:val="00903887"/>
    <w:rsid w:val="009050E6"/>
    <w:rsid w:val="00910C17"/>
    <w:rsid w:val="009113F4"/>
    <w:rsid w:val="0091498B"/>
    <w:rsid w:val="0091697C"/>
    <w:rsid w:val="00921E3A"/>
    <w:rsid w:val="0092227F"/>
    <w:rsid w:val="00922487"/>
    <w:rsid w:val="00924126"/>
    <w:rsid w:val="00925641"/>
    <w:rsid w:val="0092575E"/>
    <w:rsid w:val="009267C4"/>
    <w:rsid w:val="00931D60"/>
    <w:rsid w:val="00933F0F"/>
    <w:rsid w:val="00941C6B"/>
    <w:rsid w:val="00943557"/>
    <w:rsid w:val="00946D1E"/>
    <w:rsid w:val="0095129E"/>
    <w:rsid w:val="00951350"/>
    <w:rsid w:val="009564EB"/>
    <w:rsid w:val="00956CBF"/>
    <w:rsid w:val="009608F9"/>
    <w:rsid w:val="00962304"/>
    <w:rsid w:val="009710F6"/>
    <w:rsid w:val="009747DF"/>
    <w:rsid w:val="00976F52"/>
    <w:rsid w:val="0097741C"/>
    <w:rsid w:val="00980A0E"/>
    <w:rsid w:val="00980AA2"/>
    <w:rsid w:val="00981F73"/>
    <w:rsid w:val="00981FE7"/>
    <w:rsid w:val="009838DC"/>
    <w:rsid w:val="009879B7"/>
    <w:rsid w:val="00995413"/>
    <w:rsid w:val="00995B7F"/>
    <w:rsid w:val="009A00AB"/>
    <w:rsid w:val="009A01D7"/>
    <w:rsid w:val="009A5C8B"/>
    <w:rsid w:val="009B014B"/>
    <w:rsid w:val="009B0DF8"/>
    <w:rsid w:val="009C0F44"/>
    <w:rsid w:val="009C20A9"/>
    <w:rsid w:val="009D0C75"/>
    <w:rsid w:val="009D2E77"/>
    <w:rsid w:val="009D5005"/>
    <w:rsid w:val="009D54A8"/>
    <w:rsid w:val="009D5C6B"/>
    <w:rsid w:val="009D6E57"/>
    <w:rsid w:val="009E0844"/>
    <w:rsid w:val="009E2CFF"/>
    <w:rsid w:val="009F50BE"/>
    <w:rsid w:val="009F5E2F"/>
    <w:rsid w:val="009F747B"/>
    <w:rsid w:val="00A015E7"/>
    <w:rsid w:val="00A07BF6"/>
    <w:rsid w:val="00A13955"/>
    <w:rsid w:val="00A243DD"/>
    <w:rsid w:val="00A252F8"/>
    <w:rsid w:val="00A260C1"/>
    <w:rsid w:val="00A36A73"/>
    <w:rsid w:val="00A40F9D"/>
    <w:rsid w:val="00A45D4D"/>
    <w:rsid w:val="00A46FD0"/>
    <w:rsid w:val="00A54FFB"/>
    <w:rsid w:val="00A6054B"/>
    <w:rsid w:val="00A64724"/>
    <w:rsid w:val="00A6751B"/>
    <w:rsid w:val="00A70BB8"/>
    <w:rsid w:val="00A72560"/>
    <w:rsid w:val="00A83EF3"/>
    <w:rsid w:val="00A8557B"/>
    <w:rsid w:val="00A8621E"/>
    <w:rsid w:val="00A973E6"/>
    <w:rsid w:val="00AA23E7"/>
    <w:rsid w:val="00AA43ED"/>
    <w:rsid w:val="00AA495D"/>
    <w:rsid w:val="00AA65BA"/>
    <w:rsid w:val="00AB0BAC"/>
    <w:rsid w:val="00AB388F"/>
    <w:rsid w:val="00AB5CCD"/>
    <w:rsid w:val="00AB6BDA"/>
    <w:rsid w:val="00AB765E"/>
    <w:rsid w:val="00AC141F"/>
    <w:rsid w:val="00AC171C"/>
    <w:rsid w:val="00AC201F"/>
    <w:rsid w:val="00AD01A0"/>
    <w:rsid w:val="00AD079F"/>
    <w:rsid w:val="00AD0800"/>
    <w:rsid w:val="00AD3A0B"/>
    <w:rsid w:val="00AD422E"/>
    <w:rsid w:val="00AE1CBB"/>
    <w:rsid w:val="00AF04B8"/>
    <w:rsid w:val="00AF1A84"/>
    <w:rsid w:val="00B04F31"/>
    <w:rsid w:val="00B05671"/>
    <w:rsid w:val="00B0620E"/>
    <w:rsid w:val="00B10AD5"/>
    <w:rsid w:val="00B10E8E"/>
    <w:rsid w:val="00B1321F"/>
    <w:rsid w:val="00B15654"/>
    <w:rsid w:val="00B16436"/>
    <w:rsid w:val="00B16A8B"/>
    <w:rsid w:val="00B2321F"/>
    <w:rsid w:val="00B25632"/>
    <w:rsid w:val="00B35286"/>
    <w:rsid w:val="00B363A0"/>
    <w:rsid w:val="00B3727F"/>
    <w:rsid w:val="00B37F34"/>
    <w:rsid w:val="00B4185A"/>
    <w:rsid w:val="00B424B1"/>
    <w:rsid w:val="00B428BC"/>
    <w:rsid w:val="00B5071D"/>
    <w:rsid w:val="00B54B10"/>
    <w:rsid w:val="00B57911"/>
    <w:rsid w:val="00B6066E"/>
    <w:rsid w:val="00B714D6"/>
    <w:rsid w:val="00B81043"/>
    <w:rsid w:val="00B82DCA"/>
    <w:rsid w:val="00B846E8"/>
    <w:rsid w:val="00B84BAE"/>
    <w:rsid w:val="00B91CDB"/>
    <w:rsid w:val="00B928F8"/>
    <w:rsid w:val="00B9348B"/>
    <w:rsid w:val="00B945D9"/>
    <w:rsid w:val="00BA09C4"/>
    <w:rsid w:val="00BA1A9B"/>
    <w:rsid w:val="00BA1EB6"/>
    <w:rsid w:val="00BA2D9B"/>
    <w:rsid w:val="00BB1532"/>
    <w:rsid w:val="00BB40A0"/>
    <w:rsid w:val="00BB5345"/>
    <w:rsid w:val="00BC19F9"/>
    <w:rsid w:val="00BC37C5"/>
    <w:rsid w:val="00BC5DA9"/>
    <w:rsid w:val="00BC65FC"/>
    <w:rsid w:val="00BC6CBF"/>
    <w:rsid w:val="00BD0D8E"/>
    <w:rsid w:val="00BD4898"/>
    <w:rsid w:val="00BE034A"/>
    <w:rsid w:val="00BE0662"/>
    <w:rsid w:val="00BE1912"/>
    <w:rsid w:val="00BE1F72"/>
    <w:rsid w:val="00BE3353"/>
    <w:rsid w:val="00BE4070"/>
    <w:rsid w:val="00BE750B"/>
    <w:rsid w:val="00BF2897"/>
    <w:rsid w:val="00BF2E15"/>
    <w:rsid w:val="00BF2F96"/>
    <w:rsid w:val="00BF43A0"/>
    <w:rsid w:val="00BF487F"/>
    <w:rsid w:val="00BF5F0D"/>
    <w:rsid w:val="00C01AE1"/>
    <w:rsid w:val="00C03493"/>
    <w:rsid w:val="00C037B8"/>
    <w:rsid w:val="00C04848"/>
    <w:rsid w:val="00C061E5"/>
    <w:rsid w:val="00C07020"/>
    <w:rsid w:val="00C10DDE"/>
    <w:rsid w:val="00C11355"/>
    <w:rsid w:val="00C13321"/>
    <w:rsid w:val="00C15BAA"/>
    <w:rsid w:val="00C15F04"/>
    <w:rsid w:val="00C21B03"/>
    <w:rsid w:val="00C244F2"/>
    <w:rsid w:val="00C251E3"/>
    <w:rsid w:val="00C26B7B"/>
    <w:rsid w:val="00C27722"/>
    <w:rsid w:val="00C34401"/>
    <w:rsid w:val="00C34CCD"/>
    <w:rsid w:val="00C47A9A"/>
    <w:rsid w:val="00C5134B"/>
    <w:rsid w:val="00C55A9D"/>
    <w:rsid w:val="00C56A88"/>
    <w:rsid w:val="00C63AC2"/>
    <w:rsid w:val="00C667F8"/>
    <w:rsid w:val="00C73817"/>
    <w:rsid w:val="00C76CCA"/>
    <w:rsid w:val="00C816CB"/>
    <w:rsid w:val="00C81DAF"/>
    <w:rsid w:val="00C8265C"/>
    <w:rsid w:val="00C84215"/>
    <w:rsid w:val="00C84297"/>
    <w:rsid w:val="00C90E02"/>
    <w:rsid w:val="00C922BD"/>
    <w:rsid w:val="00CA0CF3"/>
    <w:rsid w:val="00CA1DEE"/>
    <w:rsid w:val="00CA2D2B"/>
    <w:rsid w:val="00CA2E86"/>
    <w:rsid w:val="00CA34D3"/>
    <w:rsid w:val="00CA5373"/>
    <w:rsid w:val="00CB0A46"/>
    <w:rsid w:val="00CB3B34"/>
    <w:rsid w:val="00CB4A50"/>
    <w:rsid w:val="00CC175A"/>
    <w:rsid w:val="00CD218F"/>
    <w:rsid w:val="00CD2CDE"/>
    <w:rsid w:val="00CD316C"/>
    <w:rsid w:val="00CE1AE1"/>
    <w:rsid w:val="00CE290D"/>
    <w:rsid w:val="00CE542C"/>
    <w:rsid w:val="00CE6C5C"/>
    <w:rsid w:val="00CF231F"/>
    <w:rsid w:val="00CF4E2E"/>
    <w:rsid w:val="00CF5103"/>
    <w:rsid w:val="00D00B6D"/>
    <w:rsid w:val="00D02138"/>
    <w:rsid w:val="00D04F98"/>
    <w:rsid w:val="00D12186"/>
    <w:rsid w:val="00D13BBD"/>
    <w:rsid w:val="00D14079"/>
    <w:rsid w:val="00D14520"/>
    <w:rsid w:val="00D25087"/>
    <w:rsid w:val="00D26C5A"/>
    <w:rsid w:val="00D26CCC"/>
    <w:rsid w:val="00D3055D"/>
    <w:rsid w:val="00D31488"/>
    <w:rsid w:val="00D317D9"/>
    <w:rsid w:val="00D31821"/>
    <w:rsid w:val="00D32B61"/>
    <w:rsid w:val="00D351FF"/>
    <w:rsid w:val="00D425AF"/>
    <w:rsid w:val="00D43233"/>
    <w:rsid w:val="00D43829"/>
    <w:rsid w:val="00D5383F"/>
    <w:rsid w:val="00D54BE4"/>
    <w:rsid w:val="00D56B9E"/>
    <w:rsid w:val="00D61F0A"/>
    <w:rsid w:val="00D63A88"/>
    <w:rsid w:val="00D64EC9"/>
    <w:rsid w:val="00D65058"/>
    <w:rsid w:val="00D66B28"/>
    <w:rsid w:val="00D6754D"/>
    <w:rsid w:val="00D73D6C"/>
    <w:rsid w:val="00D74D6E"/>
    <w:rsid w:val="00D80A0E"/>
    <w:rsid w:val="00D82A1B"/>
    <w:rsid w:val="00D8377C"/>
    <w:rsid w:val="00D84AC2"/>
    <w:rsid w:val="00D86397"/>
    <w:rsid w:val="00D86C24"/>
    <w:rsid w:val="00D87E37"/>
    <w:rsid w:val="00D92A50"/>
    <w:rsid w:val="00D934C0"/>
    <w:rsid w:val="00D942B5"/>
    <w:rsid w:val="00D9561B"/>
    <w:rsid w:val="00DA19F9"/>
    <w:rsid w:val="00DA2311"/>
    <w:rsid w:val="00DA4999"/>
    <w:rsid w:val="00DA5DA3"/>
    <w:rsid w:val="00DB0518"/>
    <w:rsid w:val="00DB0612"/>
    <w:rsid w:val="00DB34E8"/>
    <w:rsid w:val="00DB66E4"/>
    <w:rsid w:val="00DC0DDA"/>
    <w:rsid w:val="00DC16A3"/>
    <w:rsid w:val="00DC3F26"/>
    <w:rsid w:val="00DD0A98"/>
    <w:rsid w:val="00DD0BFC"/>
    <w:rsid w:val="00DD3057"/>
    <w:rsid w:val="00DD4F39"/>
    <w:rsid w:val="00DD6E15"/>
    <w:rsid w:val="00DD6F07"/>
    <w:rsid w:val="00DD750F"/>
    <w:rsid w:val="00DE03B3"/>
    <w:rsid w:val="00DE426E"/>
    <w:rsid w:val="00DE4EDD"/>
    <w:rsid w:val="00DE50CD"/>
    <w:rsid w:val="00DF3E0A"/>
    <w:rsid w:val="00DF42DC"/>
    <w:rsid w:val="00DF4C5B"/>
    <w:rsid w:val="00DF5B09"/>
    <w:rsid w:val="00E041CA"/>
    <w:rsid w:val="00E15E83"/>
    <w:rsid w:val="00E16E12"/>
    <w:rsid w:val="00E17A1D"/>
    <w:rsid w:val="00E21DF7"/>
    <w:rsid w:val="00E24D84"/>
    <w:rsid w:val="00E33A24"/>
    <w:rsid w:val="00E346FD"/>
    <w:rsid w:val="00E40862"/>
    <w:rsid w:val="00E429C4"/>
    <w:rsid w:val="00E45B79"/>
    <w:rsid w:val="00E460DE"/>
    <w:rsid w:val="00E5094A"/>
    <w:rsid w:val="00E57575"/>
    <w:rsid w:val="00E64C55"/>
    <w:rsid w:val="00E652F3"/>
    <w:rsid w:val="00E67FB6"/>
    <w:rsid w:val="00E71211"/>
    <w:rsid w:val="00E733C5"/>
    <w:rsid w:val="00E73963"/>
    <w:rsid w:val="00E82C24"/>
    <w:rsid w:val="00E853FF"/>
    <w:rsid w:val="00E87A32"/>
    <w:rsid w:val="00E952C9"/>
    <w:rsid w:val="00EA0677"/>
    <w:rsid w:val="00EA188D"/>
    <w:rsid w:val="00EA22BB"/>
    <w:rsid w:val="00EA55F0"/>
    <w:rsid w:val="00EA690B"/>
    <w:rsid w:val="00EB261E"/>
    <w:rsid w:val="00EB617C"/>
    <w:rsid w:val="00EC1BE8"/>
    <w:rsid w:val="00EC6BEB"/>
    <w:rsid w:val="00ED1B30"/>
    <w:rsid w:val="00ED2706"/>
    <w:rsid w:val="00EE28B0"/>
    <w:rsid w:val="00EE4A80"/>
    <w:rsid w:val="00EF1AE9"/>
    <w:rsid w:val="00F009B1"/>
    <w:rsid w:val="00F032BC"/>
    <w:rsid w:val="00F05723"/>
    <w:rsid w:val="00F11FDA"/>
    <w:rsid w:val="00F13CA3"/>
    <w:rsid w:val="00F20481"/>
    <w:rsid w:val="00F228E9"/>
    <w:rsid w:val="00F24E3B"/>
    <w:rsid w:val="00F263C1"/>
    <w:rsid w:val="00F31FED"/>
    <w:rsid w:val="00F33825"/>
    <w:rsid w:val="00F3417D"/>
    <w:rsid w:val="00F348FA"/>
    <w:rsid w:val="00F356C2"/>
    <w:rsid w:val="00F36452"/>
    <w:rsid w:val="00F40FDB"/>
    <w:rsid w:val="00F41F1E"/>
    <w:rsid w:val="00F475BF"/>
    <w:rsid w:val="00F52DDF"/>
    <w:rsid w:val="00F535DD"/>
    <w:rsid w:val="00F556D4"/>
    <w:rsid w:val="00F574F9"/>
    <w:rsid w:val="00F650B4"/>
    <w:rsid w:val="00F671D1"/>
    <w:rsid w:val="00F71B77"/>
    <w:rsid w:val="00F71C76"/>
    <w:rsid w:val="00F77E7B"/>
    <w:rsid w:val="00F833CF"/>
    <w:rsid w:val="00F8791B"/>
    <w:rsid w:val="00F93A86"/>
    <w:rsid w:val="00F9523F"/>
    <w:rsid w:val="00F95914"/>
    <w:rsid w:val="00FA5447"/>
    <w:rsid w:val="00FA7A00"/>
    <w:rsid w:val="00FB1679"/>
    <w:rsid w:val="00FB55B6"/>
    <w:rsid w:val="00FC3830"/>
    <w:rsid w:val="00FC72CB"/>
    <w:rsid w:val="00FD2A48"/>
    <w:rsid w:val="00FD5CF0"/>
    <w:rsid w:val="00FD5E45"/>
    <w:rsid w:val="00FD5F9A"/>
    <w:rsid w:val="00FD71A4"/>
    <w:rsid w:val="00FE072B"/>
    <w:rsid w:val="00FE09FC"/>
    <w:rsid w:val="00FE0C3A"/>
    <w:rsid w:val="00FF0EAE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  <w15:docId w15:val="{B27984DA-3D7B-4AE5-BBFB-D5179643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248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65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355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  <w:style w:type="paragraph" w:styleId="a7">
    <w:name w:val="header"/>
    <w:basedOn w:val="a"/>
    <w:link w:val="a8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customStyle="1" w:styleId="rvps2">
    <w:name w:val="rvps2"/>
    <w:basedOn w:val="a"/>
    <w:qFormat/>
    <w:rsid w:val="00074032"/>
    <w:pPr>
      <w:spacing w:before="100" w:beforeAutospacing="1" w:after="100" w:afterAutospacing="1"/>
    </w:pPr>
    <w:rPr>
      <w:lang w:eastAsia="uk-UA"/>
    </w:rPr>
  </w:style>
  <w:style w:type="paragraph" w:styleId="ab">
    <w:name w:val="List Paragraph"/>
    <w:basedOn w:val="a"/>
    <w:uiPriority w:val="34"/>
    <w:qFormat/>
    <w:rsid w:val="000740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lank">
    <w:name w:val="Blank"/>
    <w:basedOn w:val="a"/>
    <w:rsid w:val="00074032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  <w:lang w:val="ru-RU"/>
    </w:rPr>
  </w:style>
  <w:style w:type="paragraph" w:customStyle="1" w:styleId="ac">
    <w:name w:val="Бланк"/>
    <w:basedOn w:val="a"/>
    <w:rsid w:val="003232A6"/>
    <w:pPr>
      <w:tabs>
        <w:tab w:val="left" w:pos="5387"/>
        <w:tab w:val="right" w:pos="9356"/>
      </w:tabs>
      <w:spacing w:after="120"/>
      <w:ind w:firstLine="709"/>
      <w:jc w:val="both"/>
    </w:pPr>
    <w:rPr>
      <w:sz w:val="26"/>
      <w:lang w:val="ru-RU"/>
    </w:rPr>
  </w:style>
  <w:style w:type="paragraph" w:customStyle="1" w:styleId="ad">
    <w:name w:val="Нормальний текст"/>
    <w:basedOn w:val="a"/>
    <w:rsid w:val="00DE426E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e">
    <w:name w:val="Plain Text"/>
    <w:basedOn w:val="a"/>
    <w:link w:val="af"/>
    <w:uiPriority w:val="99"/>
    <w:unhideWhenUsed/>
    <w:rsid w:val="00742C9C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locked/>
    <w:rsid w:val="00742C9C"/>
    <w:rPr>
      <w:rFonts w:ascii="Consolas" w:hAnsi="Consolas" w:cs="Times New Roman"/>
      <w:sz w:val="21"/>
      <w:szCs w:val="21"/>
      <w:lang w:val="x-none" w:eastAsia="en-US"/>
    </w:rPr>
  </w:style>
  <w:style w:type="paragraph" w:customStyle="1" w:styleId="1">
    <w:name w:val="1"/>
    <w:basedOn w:val="a"/>
    <w:rsid w:val="00152BE0"/>
    <w:rPr>
      <w:lang w:eastAsia="uk-UA"/>
    </w:rPr>
  </w:style>
  <w:style w:type="character" w:styleId="af0">
    <w:name w:val="Strong"/>
    <w:basedOn w:val="a0"/>
    <w:uiPriority w:val="22"/>
    <w:qFormat/>
    <w:rsid w:val="007756D7"/>
    <w:rPr>
      <w:b/>
      <w:bCs/>
    </w:rPr>
  </w:style>
  <w:style w:type="character" w:styleId="af1">
    <w:name w:val="Emphasis"/>
    <w:basedOn w:val="a0"/>
    <w:uiPriority w:val="20"/>
    <w:qFormat/>
    <w:rsid w:val="002B5FFD"/>
    <w:rPr>
      <w:i/>
      <w:iCs/>
    </w:rPr>
  </w:style>
  <w:style w:type="paragraph" w:styleId="af2">
    <w:name w:val="Revision"/>
    <w:hidden/>
    <w:uiPriority w:val="99"/>
    <w:semiHidden/>
    <w:rsid w:val="0033105E"/>
    <w:rPr>
      <w:sz w:val="24"/>
      <w:szCs w:val="24"/>
      <w:lang w:eastAsia="ru-RU"/>
    </w:rPr>
  </w:style>
  <w:style w:type="paragraph" w:customStyle="1" w:styleId="xmsonormal">
    <w:name w:val="x_msonormal"/>
    <w:basedOn w:val="a"/>
    <w:rsid w:val="003810D7"/>
    <w:pPr>
      <w:spacing w:before="100" w:beforeAutospacing="1" w:after="100" w:afterAutospacing="1"/>
    </w:pPr>
    <w:rPr>
      <w:lang w:eastAsia="uk-UA"/>
    </w:rPr>
  </w:style>
  <w:style w:type="paragraph" w:styleId="af3">
    <w:name w:val="Normal (Web)"/>
    <w:basedOn w:val="a"/>
    <w:uiPriority w:val="99"/>
    <w:unhideWhenUsed/>
    <w:rsid w:val="00386219"/>
    <w:pPr>
      <w:spacing w:before="100" w:beforeAutospacing="1" w:after="100" w:afterAutospacing="1"/>
    </w:pPr>
    <w:rPr>
      <w:lang w:eastAsia="uk-UA"/>
    </w:rPr>
  </w:style>
  <w:style w:type="character" w:customStyle="1" w:styleId="theme-foregroundcolorcustom-sdpc7s">
    <w:name w:val="theme-foregroundcolorcustom-sdpc7s"/>
    <w:basedOn w:val="a0"/>
    <w:rsid w:val="004F36D8"/>
  </w:style>
  <w:style w:type="character" w:customStyle="1" w:styleId="theme-foregroundcolor-7">
    <w:name w:val="theme-foregroundcolor-7"/>
    <w:basedOn w:val="a0"/>
    <w:rsid w:val="00B9348B"/>
  </w:style>
  <w:style w:type="character" w:styleId="af4">
    <w:name w:val="Unresolved Mention"/>
    <w:basedOn w:val="a0"/>
    <w:uiPriority w:val="99"/>
    <w:semiHidden/>
    <w:unhideWhenUsed/>
    <w:rsid w:val="00FA7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0CCF-E397-447C-9482-30F692C2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1312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 Юлія Володимирівна</dc:creator>
  <cp:keywords/>
  <dc:description/>
  <cp:lastModifiedBy>ДОНІЙ Ольга Миколаївна</cp:lastModifiedBy>
  <cp:revision>13</cp:revision>
  <cp:lastPrinted>2025-02-03T13:54:00Z</cp:lastPrinted>
  <dcterms:created xsi:type="dcterms:W3CDTF">2025-01-29T14:24:00Z</dcterms:created>
  <dcterms:modified xsi:type="dcterms:W3CDTF">2025-02-05T07:09:00Z</dcterms:modified>
</cp:coreProperties>
</file>