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D8" w:rsidRDefault="00A76061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НАУКОВО-ДОСЛІДНИЙ ІНСТИТУТ «ЗРАЗКОВИЙ»</w:t>
      </w:r>
    </w:p>
    <w:p w:rsidR="002104D8" w:rsidRDefault="00535994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ЄДРПОУ 01234567</w:t>
      </w:r>
    </w:p>
    <w:p w:rsidR="002104D8" w:rsidRDefault="00535994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2104D8" w:rsidRDefault="00535994">
      <w:pPr>
        <w:tabs>
          <w:tab w:val="left" w:pos="4678"/>
          <w:tab w:val="left" w:pos="9781"/>
        </w:tabs>
        <w:spacing w:line="100" w:lineRule="atLeast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17.11.2025</w:t>
      </w:r>
      <w:r>
        <w:rPr>
          <w:rFonts w:ascii="Times New Roman" w:hAnsi="Times New Roman" w:cs="Times New Roman"/>
          <w:sz w:val="24"/>
          <w:szCs w:val="24"/>
        </w:rPr>
        <w:tab/>
      </w:r>
      <w:r w:rsidR="009D3AC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Прилуки</w:t>
      </w:r>
      <w:r>
        <w:rPr>
          <w:rFonts w:ascii="Times New Roman" w:hAnsi="Times New Roman" w:cs="Times New Roman"/>
          <w:sz w:val="24"/>
          <w:szCs w:val="24"/>
        </w:rPr>
        <w:tab/>
        <w:t>№ 07</w:t>
      </w:r>
    </w:p>
    <w:p w:rsidR="002104D8" w:rsidRPr="009D3AC5" w:rsidRDefault="002104D8">
      <w:pPr>
        <w:pStyle w:val="ShiftAlt"/>
        <w:spacing w:line="100" w:lineRule="atLeast"/>
        <w:ind w:firstLine="0"/>
        <w:rPr>
          <w:rFonts w:cs="Times New Roman"/>
          <w:b/>
          <w:bCs/>
          <w:szCs w:val="24"/>
        </w:rPr>
      </w:pPr>
    </w:p>
    <w:p w:rsidR="002104D8" w:rsidRPr="009D3AC5" w:rsidRDefault="00535994">
      <w:pPr>
        <w:pStyle w:val="ShiftAlt"/>
        <w:spacing w:line="100" w:lineRule="atLeast"/>
        <w:ind w:firstLine="0"/>
        <w:rPr>
          <w:rFonts w:cs="Times New Roman"/>
          <w:b/>
          <w:bCs/>
          <w:szCs w:val="24"/>
        </w:rPr>
      </w:pPr>
      <w:r w:rsidRPr="009D3AC5">
        <w:rPr>
          <w:rFonts w:cs="Times New Roman"/>
          <w:b/>
          <w:bCs/>
          <w:szCs w:val="24"/>
        </w:rPr>
        <w:t>Про внесення змін до Положення</w:t>
      </w:r>
    </w:p>
    <w:p w:rsidR="002104D8" w:rsidRPr="009D3AC5" w:rsidRDefault="00535994">
      <w:pPr>
        <w:pStyle w:val="ShiftAlt"/>
        <w:spacing w:line="100" w:lineRule="atLeast"/>
        <w:ind w:firstLine="0"/>
        <w:rPr>
          <w:rFonts w:cs="Times New Roman"/>
          <w:b/>
          <w:bCs/>
          <w:szCs w:val="24"/>
        </w:rPr>
      </w:pPr>
      <w:r w:rsidRPr="009D3AC5">
        <w:rPr>
          <w:rFonts w:cs="Times New Roman"/>
          <w:b/>
          <w:bCs/>
          <w:szCs w:val="24"/>
        </w:rPr>
        <w:t>про облікову політику</w:t>
      </w:r>
    </w:p>
    <w:p w:rsidR="009D3AC5" w:rsidRDefault="009D3AC5" w:rsidP="009D3AC5">
      <w:pPr>
        <w:pStyle w:val="ShiftAlt"/>
        <w:spacing w:line="100" w:lineRule="atLeast"/>
        <w:ind w:firstLine="0"/>
        <w:rPr>
          <w:rFonts w:cs="Times New Roman"/>
          <w:szCs w:val="24"/>
        </w:rPr>
      </w:pPr>
    </w:p>
    <w:p w:rsidR="009D3AC5" w:rsidRDefault="009D3AC5" w:rsidP="009D3AC5">
      <w:pPr>
        <w:pStyle w:val="ShiftAlt"/>
        <w:spacing w:line="100" w:lineRule="atLeast"/>
        <w:ind w:firstLine="0"/>
        <w:rPr>
          <w:rFonts w:cs="Times New Roman"/>
          <w:szCs w:val="24"/>
        </w:rPr>
      </w:pPr>
    </w:p>
    <w:p w:rsidR="002104D8" w:rsidRDefault="00535994" w:rsidP="009D3AC5">
      <w:pPr>
        <w:pStyle w:val="ShiftAlt"/>
        <w:spacing w:line="100" w:lineRule="atLeast"/>
        <w:ind w:firstLine="0"/>
      </w:pPr>
      <w:r>
        <w:rPr>
          <w:rFonts w:cs="Times New Roman"/>
          <w:szCs w:val="24"/>
        </w:rPr>
        <w:t>На виконання Закону України «Про бухгалтерський облік та фінансову звітність в Укра</w:t>
      </w:r>
      <w:r>
        <w:t xml:space="preserve">їні» від 16.07.1999 № </w:t>
      </w:r>
      <w:r>
        <w:t xml:space="preserve">996-XIV, Типового положення про бухгалтерську службу бюджетної установи, затвердженого постановою КМУ від 26.01.2011 № 59, Національного положення (стандарту) бухгалтерського обліку в державному секторі 125 «Зміни облікових оцінок та виправлення помилок», </w:t>
      </w:r>
      <w:r>
        <w:t>затвердженого наказом Мінфіну від 24.12.2010 № 1629, та наказу Мінфіну «Про затвердження деяких нормативно-правових актів з бухгалтерського обліку в державному секторі» від 29.12.2015 № 1219,</w:t>
      </w:r>
    </w:p>
    <w:p w:rsidR="002104D8" w:rsidRDefault="002104D8">
      <w:pPr>
        <w:spacing w:line="100" w:lineRule="atLeast"/>
      </w:pPr>
    </w:p>
    <w:p w:rsidR="002104D8" w:rsidRPr="009D3AC5" w:rsidRDefault="00535994" w:rsidP="009D3AC5">
      <w:pPr>
        <w:pStyle w:val="3ShiftAlt"/>
        <w:spacing w:line="100" w:lineRule="atLeast"/>
        <w:jc w:val="left"/>
        <w:rPr>
          <w:b w:val="0"/>
          <w:bCs w:val="0"/>
        </w:rPr>
      </w:pPr>
      <w:r w:rsidRPr="009D3AC5">
        <w:rPr>
          <w:b w:val="0"/>
          <w:bCs w:val="0"/>
        </w:rPr>
        <w:t>НАКАЗУЮ:</w:t>
      </w:r>
    </w:p>
    <w:p w:rsidR="002104D8" w:rsidRDefault="002104D8">
      <w:pPr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1. Внести зміни до Положення про облікову політику, з</w:t>
      </w:r>
      <w:r>
        <w:t xml:space="preserve">атвердженого наказом </w:t>
      </w:r>
      <w:r w:rsidR="00A76061">
        <w:t>НДІ «Зразковий»</w:t>
      </w:r>
      <w:r>
        <w:t xml:space="preserve"> від 11 лютого 2025</w:t>
      </w:r>
      <w:r>
        <w:t xml:space="preserve"> року № 11 (у редакції наказу </w:t>
      </w:r>
      <w:r w:rsidR="00A76061">
        <w:t>НДІ «Зразковий»</w:t>
      </w:r>
      <w:r>
        <w:t xml:space="preserve"> від 11.02.2025</w:t>
      </w:r>
      <w:r>
        <w:t xml:space="preserve"> № 17), що додаються.</w:t>
      </w:r>
    </w:p>
    <w:p w:rsidR="002104D8" w:rsidRDefault="00535994">
      <w:pPr>
        <w:pStyle w:val="ShiftAlt"/>
        <w:spacing w:line="100" w:lineRule="atLeast"/>
      </w:pPr>
      <w:r>
        <w:t>2. Бухгалтерській службі прийняти цей наказ до неухильного виконання та до 17 грудня 2025</w:t>
      </w:r>
      <w:r>
        <w:t xml:space="preserve"> року привести у відповідність Порядок організації бухгалтерського обліку і посадові інструкції працівників.</w:t>
      </w:r>
    </w:p>
    <w:p w:rsidR="002104D8" w:rsidRDefault="00535994">
      <w:pPr>
        <w:pStyle w:val="ShiftAlt"/>
        <w:spacing w:line="100" w:lineRule="atLeast"/>
      </w:pPr>
      <w:r>
        <w:t xml:space="preserve">3. Завідуючій загальним сектором Світловій </w:t>
      </w:r>
      <w:r w:rsidR="00E45871" w:rsidRPr="00E45871">
        <w:t>Оксан</w:t>
      </w:r>
      <w:r w:rsidR="00E45871">
        <w:t>і</w:t>
      </w:r>
      <w:r>
        <w:t xml:space="preserve"> до 19.11.2025</w:t>
      </w:r>
      <w:r>
        <w:t xml:space="preserve"> ознайомити всіх працівників бухгалтерської служби з цим наказом під підпис.</w:t>
      </w:r>
    </w:p>
    <w:p w:rsidR="002104D8" w:rsidRDefault="00535994">
      <w:pPr>
        <w:pStyle w:val="ShiftAlt"/>
        <w:spacing w:line="100" w:lineRule="atLeast"/>
      </w:pPr>
      <w:r>
        <w:t xml:space="preserve">4. Цей </w:t>
      </w:r>
      <w:r>
        <w:t>наказ набирає чинності з дня його підписання.</w:t>
      </w:r>
    </w:p>
    <w:p w:rsidR="002104D8" w:rsidRDefault="00535994">
      <w:pPr>
        <w:pStyle w:val="ShiftAlt"/>
        <w:spacing w:line="100" w:lineRule="atLeast"/>
      </w:pPr>
      <w:r>
        <w:t xml:space="preserve">5. Контроль за виконанням цього наказу залишаю за собою. 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tabs>
          <w:tab w:val="left" w:pos="5103"/>
          <w:tab w:val="left" w:pos="9072"/>
        </w:tabs>
        <w:spacing w:line="100" w:lineRule="atLeast"/>
      </w:pPr>
      <w:r>
        <w:t>Головний лікар</w:t>
      </w:r>
      <w:r>
        <w:rPr>
          <w:rStyle w:val="Italic"/>
        </w:rPr>
        <w:tab/>
        <w:t>Петров</w:t>
      </w:r>
      <w:r w:rsidR="00E45871">
        <w:rPr>
          <w:rStyle w:val="Italic"/>
        </w:rPr>
        <w:t xml:space="preserve">                                               </w:t>
      </w:r>
      <w:r>
        <w:t>П</w:t>
      </w:r>
      <w:r w:rsidR="00E45871">
        <w:t>авло</w:t>
      </w:r>
      <w:r>
        <w:t xml:space="preserve"> </w:t>
      </w:r>
      <w:r w:rsidR="00E45871">
        <w:t>ПЕТРОВ</w:t>
      </w:r>
    </w:p>
    <w:p w:rsidR="002104D8" w:rsidRDefault="002104D8">
      <w:pPr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Візи та відмітки про ознайомлення з наказом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tabs>
          <w:tab w:val="left" w:pos="6521"/>
        </w:tabs>
        <w:spacing w:line="100" w:lineRule="atLeast"/>
        <w:ind w:firstLine="708"/>
      </w:pPr>
      <w:r>
        <w:tab/>
      </w: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2104D8" w:rsidRDefault="002104D8">
      <w:pPr>
        <w:pStyle w:val="ShiftAlt"/>
        <w:tabs>
          <w:tab w:val="left" w:pos="6521"/>
        </w:tabs>
        <w:spacing w:line="100" w:lineRule="atLeast"/>
        <w:ind w:firstLine="708"/>
      </w:pPr>
    </w:p>
    <w:p w:rsidR="001D7672" w:rsidRDefault="001D7672">
      <w:pPr>
        <w:suppressAutoHyphens w:val="0"/>
        <w:spacing w:after="0" w:line="240" w:lineRule="auto"/>
        <w:rPr>
          <w:rFonts w:ascii="Times New Roman" w:hAnsi="Times New Roman" w:cs="Myriad Pro"/>
          <w:color w:val="000000"/>
          <w:sz w:val="24"/>
          <w:szCs w:val="18"/>
        </w:rPr>
      </w:pPr>
      <w:r>
        <w:br w:type="page"/>
      </w:r>
    </w:p>
    <w:p w:rsidR="002104D8" w:rsidRDefault="00535994" w:rsidP="00E45871">
      <w:pPr>
        <w:pStyle w:val="ShiftAlt"/>
        <w:tabs>
          <w:tab w:val="left" w:pos="6521"/>
        </w:tabs>
        <w:spacing w:line="100" w:lineRule="atLeast"/>
        <w:ind w:left="6521" w:firstLine="0"/>
      </w:pPr>
      <w:r>
        <w:lastRenderedPageBreak/>
        <w:t>ЗАТВЕРДЖЕНО</w:t>
      </w:r>
    </w:p>
    <w:p w:rsidR="002104D8" w:rsidRDefault="00535994" w:rsidP="00A76061">
      <w:pPr>
        <w:pStyle w:val="ShiftAlt"/>
        <w:tabs>
          <w:tab w:val="left" w:pos="6521"/>
        </w:tabs>
        <w:spacing w:line="100" w:lineRule="atLeast"/>
        <w:ind w:left="3969" w:firstLine="1276"/>
        <w:jc w:val="center"/>
      </w:pPr>
      <w:r>
        <w:t xml:space="preserve">Наказ </w:t>
      </w:r>
      <w:r w:rsidR="00A76061">
        <w:t xml:space="preserve">Науково-дослідного інституту «Зразковий» від </w:t>
      </w:r>
      <w:r>
        <w:t>17 листопада 2025</w:t>
      </w:r>
      <w:bookmarkStart w:id="0" w:name="_GoBack"/>
      <w:bookmarkEnd w:id="0"/>
      <w:r>
        <w:t xml:space="preserve"> р. № 07</w:t>
      </w:r>
    </w:p>
    <w:p w:rsidR="002104D8" w:rsidRDefault="002104D8">
      <w:pPr>
        <w:pStyle w:val="ShiftAlt"/>
        <w:spacing w:line="100" w:lineRule="atLeast"/>
      </w:pPr>
    </w:p>
    <w:p w:rsidR="002104D8" w:rsidRDefault="002104D8">
      <w:pPr>
        <w:pStyle w:val="ShiftAlt"/>
        <w:spacing w:line="100" w:lineRule="atLeast"/>
        <w:ind w:firstLine="0"/>
      </w:pPr>
    </w:p>
    <w:p w:rsidR="002104D8" w:rsidRDefault="002104D8">
      <w:pPr>
        <w:pStyle w:val="3ShiftAlt"/>
        <w:spacing w:line="100" w:lineRule="atLeast"/>
      </w:pPr>
    </w:p>
    <w:p w:rsidR="002104D8" w:rsidRDefault="002104D8">
      <w:pPr>
        <w:pStyle w:val="3ShiftAlt"/>
        <w:spacing w:line="100" w:lineRule="atLeast"/>
      </w:pPr>
    </w:p>
    <w:p w:rsidR="002104D8" w:rsidRDefault="00535994">
      <w:pPr>
        <w:pStyle w:val="3ShiftAlt"/>
        <w:spacing w:line="100" w:lineRule="atLeast"/>
      </w:pPr>
      <w:r>
        <w:t>Зміни</w:t>
      </w:r>
    </w:p>
    <w:p w:rsidR="002104D8" w:rsidRDefault="00535994">
      <w:pPr>
        <w:pStyle w:val="3ShiftAlt"/>
        <w:spacing w:line="100" w:lineRule="atLeast"/>
      </w:pPr>
      <w:r>
        <w:t>до Положення про облікову політику, затвердженого наказом</w:t>
      </w:r>
    </w:p>
    <w:p w:rsidR="002104D8" w:rsidRDefault="00A76061">
      <w:pPr>
        <w:pStyle w:val="3ShiftAlt"/>
        <w:spacing w:line="100" w:lineRule="atLeast"/>
      </w:pPr>
      <w:r>
        <w:t>Науково-дослідного інституту «Зразковий» від 11 лютого 202</w:t>
      </w:r>
      <w:r w:rsidR="00535994">
        <w:t>5</w:t>
      </w:r>
      <w:r>
        <w:t xml:space="preserve"> року № 11</w:t>
      </w:r>
    </w:p>
    <w:p w:rsidR="002104D8" w:rsidRDefault="00535994">
      <w:pPr>
        <w:pStyle w:val="3ShiftAlt"/>
        <w:spacing w:line="100" w:lineRule="atLeast"/>
      </w:pPr>
      <w:r>
        <w:t xml:space="preserve">(у редакції наказу </w:t>
      </w:r>
      <w:r w:rsidR="00A76061">
        <w:t>Науково-дослідного інституту «Зразковий»</w:t>
      </w:r>
      <w:r>
        <w:t xml:space="preserve"> від 11.02.2025</w:t>
      </w:r>
      <w:r w:rsidR="00A74E11">
        <w:t xml:space="preserve"> року</w:t>
      </w:r>
      <w:r>
        <w:t xml:space="preserve"> № 17)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 xml:space="preserve">1. У пункті 5: </w:t>
      </w:r>
    </w:p>
    <w:p w:rsidR="002104D8" w:rsidRDefault="00535994">
      <w:pPr>
        <w:pStyle w:val="ShiftAlt"/>
        <w:spacing w:line="100" w:lineRule="atLeast"/>
      </w:pPr>
      <w:r>
        <w:t xml:space="preserve">1.1. У підпункті 5.1: </w:t>
      </w:r>
    </w:p>
    <w:p w:rsidR="002104D8" w:rsidRDefault="00535994">
      <w:pPr>
        <w:pStyle w:val="ShiftAlt"/>
        <w:spacing w:line="100" w:lineRule="atLeast"/>
      </w:pPr>
      <w:r>
        <w:t>Підпункт «г» викласти у такій редакції:</w:t>
      </w:r>
    </w:p>
    <w:p w:rsidR="002104D8" w:rsidRDefault="00535994">
      <w:pPr>
        <w:pStyle w:val="ShiftAlt"/>
        <w:spacing w:line="100" w:lineRule="atLeast"/>
      </w:pPr>
      <w:r>
        <w:t>«г) інші доходи від обмінних операцій, зокрема:</w:t>
      </w:r>
    </w:p>
    <w:p w:rsidR="002104D8" w:rsidRDefault="00535994">
      <w:pPr>
        <w:pStyle w:val="Ctrl0"/>
        <w:spacing w:line="100" w:lineRule="atLeast"/>
      </w:pPr>
      <w:r>
        <w:t xml:space="preserve">надходження від реалізації майна (крім нерухомого); </w:t>
      </w:r>
    </w:p>
    <w:p w:rsidR="002104D8" w:rsidRDefault="00535994">
      <w:pPr>
        <w:pStyle w:val="Ctrl0"/>
        <w:spacing w:line="100" w:lineRule="atLeast"/>
      </w:pPr>
      <w:r>
        <w:t>надходже</w:t>
      </w:r>
      <w:r>
        <w:t xml:space="preserve">ння, які </w:t>
      </w:r>
      <w:r>
        <w:rPr>
          <w:rStyle w:val="a3"/>
          <w:lang w:val="uk-UA"/>
        </w:rPr>
        <w:t xml:space="preserve">за Довідкою про надходження </w:t>
      </w:r>
      <w:r>
        <w:t>у натуральній формі</w:t>
      </w:r>
      <w:r>
        <w:rPr>
          <w:rStyle w:val="a3"/>
          <w:lang w:val="uk-UA"/>
        </w:rPr>
        <w:t xml:space="preserve"> відображені</w:t>
      </w:r>
      <w:r>
        <w:t xml:space="preserve"> на </w:t>
      </w:r>
      <w:r>
        <w:rPr>
          <w:rStyle w:val="a3"/>
          <w:lang w:val="uk-UA"/>
        </w:rPr>
        <w:t>рахунках установи в органі Казначейства</w:t>
      </w:r>
      <w:r>
        <w:t>, за оприбуткування основних засобів, інших необоротних матеріальних активів, нематеріальних активів, виробничих запасів, малоцінних та швидкозно</w:t>
      </w:r>
      <w:r>
        <w:t>шуваних предметів та інших нефінансових активів, які:</w:t>
      </w:r>
    </w:p>
    <w:p w:rsidR="002104D8" w:rsidRDefault="00535994">
      <w:pPr>
        <w:pStyle w:val="ac"/>
        <w:spacing w:line="100" w:lineRule="atLeast"/>
      </w:pPr>
      <w:r>
        <w:t xml:space="preserve">виявлені в результаті інвентаризації; </w:t>
      </w:r>
    </w:p>
    <w:p w:rsidR="002104D8" w:rsidRDefault="00535994">
      <w:pPr>
        <w:pStyle w:val="ac"/>
        <w:spacing w:line="100" w:lineRule="atLeast"/>
      </w:pPr>
      <w:r>
        <w:t xml:space="preserve">отримані внаслідок демонтажу; </w:t>
      </w:r>
    </w:p>
    <w:p w:rsidR="002104D8" w:rsidRDefault="00535994">
      <w:pPr>
        <w:pStyle w:val="ac"/>
        <w:spacing w:line="100" w:lineRule="atLeast"/>
      </w:pPr>
      <w:r>
        <w:t>отримані в результаті списання майна.</w:t>
      </w:r>
    </w:p>
    <w:p w:rsidR="002104D8" w:rsidRDefault="00535994">
      <w:pPr>
        <w:pStyle w:val="ac"/>
        <w:spacing w:line="100" w:lineRule="atLeast"/>
      </w:pPr>
      <w:r>
        <w:t>надходження від зміни вартості активів та відновлення їх корисності;</w:t>
      </w:r>
    </w:p>
    <w:p w:rsidR="002104D8" w:rsidRDefault="00535994">
      <w:pPr>
        <w:pStyle w:val="ac"/>
        <w:spacing w:line="100" w:lineRule="atLeast"/>
      </w:pPr>
      <w:r>
        <w:t>курсові різниці.».</w:t>
      </w:r>
    </w:p>
    <w:p w:rsidR="002104D8" w:rsidRDefault="00535994">
      <w:pPr>
        <w:pStyle w:val="ShiftAlt"/>
        <w:spacing w:line="100" w:lineRule="atLeast"/>
      </w:pPr>
      <w:r>
        <w:t xml:space="preserve">У </w:t>
      </w:r>
      <w:r>
        <w:t>останньому абзаці слова «зобов’язань, що не підлягають погашенню» виключити.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1.2. У підпункті 5.2 в останньому абзаці слова «списання дебіторської заборгованості» виключити.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 xml:space="preserve">2. Пункт 6 доповнити новим реченням у такій редакції: </w:t>
      </w:r>
    </w:p>
    <w:p w:rsidR="002104D8" w:rsidRDefault="00535994">
      <w:pPr>
        <w:pStyle w:val="ShiftAlt"/>
        <w:spacing w:line="100" w:lineRule="atLeast"/>
      </w:pPr>
      <w:r>
        <w:t xml:space="preserve">«І становить ця величина </w:t>
      </w:r>
      <w:r>
        <w:t>5% від суми фінансового результату, наведеного в Балансі ф. № 1-дс, за той звітний період, за який виправляється помилка.».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3. У пункті 8:</w:t>
      </w:r>
    </w:p>
    <w:p w:rsidR="002104D8" w:rsidRDefault="00535994">
      <w:pPr>
        <w:pStyle w:val="ShiftAlt"/>
        <w:spacing w:line="100" w:lineRule="atLeast"/>
      </w:pPr>
      <w:r>
        <w:t>3.1. Підпункт 8.1 доповнити новим реченням у такій редакції:</w:t>
      </w:r>
    </w:p>
    <w:p w:rsidR="002104D8" w:rsidRDefault="00535994">
      <w:pPr>
        <w:pStyle w:val="ShiftAlt"/>
        <w:spacing w:line="100" w:lineRule="atLeast"/>
      </w:pPr>
      <w:r>
        <w:t xml:space="preserve">«Виключенням є виробничі запаси, малоцінні та </w:t>
      </w:r>
      <w:r>
        <w:t>швидкозношувані предмети й інші нефінансові активи, які:</w:t>
      </w:r>
    </w:p>
    <w:p w:rsidR="002104D8" w:rsidRDefault="00535994">
      <w:pPr>
        <w:pStyle w:val="Ctrl0"/>
        <w:spacing w:line="100" w:lineRule="atLeast"/>
      </w:pPr>
      <w:r>
        <w:t xml:space="preserve">виявлені в результаті інвентаризації; </w:t>
      </w:r>
    </w:p>
    <w:p w:rsidR="002104D8" w:rsidRDefault="00535994">
      <w:pPr>
        <w:pStyle w:val="Ctrl0"/>
        <w:spacing w:line="100" w:lineRule="atLeast"/>
      </w:pPr>
      <w:r>
        <w:t xml:space="preserve">отримані внаслідок демонтажу; </w:t>
      </w:r>
    </w:p>
    <w:p w:rsidR="002104D8" w:rsidRDefault="00535994">
      <w:pPr>
        <w:pStyle w:val="Ctrl0"/>
        <w:spacing w:line="100" w:lineRule="atLeast"/>
      </w:pPr>
      <w:r>
        <w:t>отримані в результаті списання майна.</w:t>
      </w:r>
    </w:p>
    <w:p w:rsidR="002104D8" w:rsidRDefault="00535994">
      <w:pPr>
        <w:pStyle w:val="ShiftAlt"/>
        <w:spacing w:line="100" w:lineRule="atLeast"/>
      </w:pPr>
      <w:r>
        <w:t>Такі запаси відображати в бухгалтерському обліку і звітності на дату балансу у разі їх приз</w:t>
      </w:r>
      <w:r>
        <w:t>начення для:</w:t>
      </w:r>
    </w:p>
    <w:p w:rsidR="002104D8" w:rsidRDefault="00535994">
      <w:pPr>
        <w:pStyle w:val="Ctrl0"/>
        <w:spacing w:line="100" w:lineRule="atLeast"/>
      </w:pPr>
      <w:r>
        <w:t>ремонту та інших потреб установи — за ціною можливого використання;</w:t>
      </w:r>
    </w:p>
    <w:p w:rsidR="002104D8" w:rsidRDefault="00535994">
      <w:pPr>
        <w:pStyle w:val="Ctrl0"/>
        <w:spacing w:line="100" w:lineRule="atLeast"/>
      </w:pPr>
      <w:r>
        <w:t xml:space="preserve">продажу — за чистою вартістю їх реалізації.». 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3.2. Підпункт 8.3 доповнити новим реченням у такій редакції:</w:t>
      </w:r>
    </w:p>
    <w:p w:rsidR="002104D8" w:rsidRDefault="00535994">
      <w:pPr>
        <w:pStyle w:val="ShiftAlt"/>
        <w:spacing w:line="100" w:lineRule="atLeast"/>
      </w:pPr>
      <w:r>
        <w:t>«Виключенням є транспортно-заготівельні витрати, пов’язані з придб</w:t>
      </w:r>
      <w:r>
        <w:t>анням, отриманням (крім внутрішньовідомчої передачі) медикаментів та перев’язувальних засобів. Облік таких витрат вести на окремому відкритому до субрахунку 1512 «Медикаменти та перев’язувальні засоби» аналітичному рахунку «Транспортно-заготівельні витрати</w:t>
      </w:r>
      <w:r>
        <w:t>, пов’язані з придбанням медикаментів та перев’язувальних засобів».</w:t>
      </w:r>
    </w:p>
    <w:p w:rsidR="002104D8" w:rsidRDefault="00535994">
      <w:pPr>
        <w:pStyle w:val="ShiftAlt"/>
        <w:spacing w:line="100" w:lineRule="atLeast"/>
      </w:pPr>
      <w:r>
        <w:lastRenderedPageBreak/>
        <w:t>Розподіляти ці транспортно-заготівельні витрати щомісяця так, щоб на аналітичному рахунку з їх обліку був залишок. Зокрема, суми транспортно-заготівельних витрат</w:t>
      </w:r>
      <w:r>
        <w:rPr>
          <w:rStyle w:val="Bold"/>
        </w:rPr>
        <w:t xml:space="preserve"> пропорційно відносити на в</w:t>
      </w:r>
      <w:r>
        <w:rPr>
          <w:rStyle w:val="Bold"/>
        </w:rPr>
        <w:t>артість</w:t>
      </w:r>
      <w:r>
        <w:t xml:space="preserve"> запасів, що вибули, тобто використані, реалізовані, безоплатно передані тощо за прикладом, наведеним у додатку 5 до цього Положення про облікову політику</w:t>
      </w:r>
      <w:r>
        <w:rPr>
          <w:rStyle w:val="a3"/>
          <w:lang w:val="uk-UA"/>
        </w:rPr>
        <w:t>.».</w:t>
      </w:r>
      <w:r>
        <w:t xml:space="preserve"> 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4. Пункт 9 викласти у такій редакції:</w:t>
      </w:r>
    </w:p>
    <w:p w:rsidR="002104D8" w:rsidRDefault="00535994">
      <w:pPr>
        <w:pStyle w:val="ShiftAlt"/>
        <w:spacing w:line="100" w:lineRule="atLeast"/>
      </w:pPr>
      <w:r>
        <w:t>«9. Об’єкти основних засобів, нематеріальних активі</w:t>
      </w:r>
      <w:r>
        <w:t xml:space="preserve">в, інвестиційної нерухомості та біологічних активів. </w:t>
      </w:r>
    </w:p>
    <w:p w:rsidR="002104D8" w:rsidRDefault="00535994">
      <w:pPr>
        <w:pStyle w:val="ShiftAlt"/>
        <w:spacing w:line="100" w:lineRule="atLeast"/>
      </w:pPr>
      <w:r>
        <w:t>9.1. Складники придбаної комп’ютерної техніки визнавати окремими активами у складі об’єктів обліку:</w:t>
      </w:r>
    </w:p>
    <w:p w:rsidR="002104D8" w:rsidRDefault="00535994">
      <w:pPr>
        <w:pStyle w:val="Ctrl0"/>
        <w:spacing w:line="100" w:lineRule="atLeast"/>
      </w:pPr>
      <w:r>
        <w:t xml:space="preserve">основних засобів — системний блок; </w:t>
      </w:r>
    </w:p>
    <w:p w:rsidR="002104D8" w:rsidRDefault="00535994">
      <w:pPr>
        <w:pStyle w:val="Ctrl0"/>
        <w:spacing w:line="100" w:lineRule="atLeast"/>
      </w:pPr>
      <w:r>
        <w:t>малоцінних необоротних матеріальних активів — монітор та клавіатур</w:t>
      </w:r>
      <w:r>
        <w:t>у провідну;</w:t>
      </w:r>
    </w:p>
    <w:p w:rsidR="002104D8" w:rsidRDefault="00535994">
      <w:pPr>
        <w:pStyle w:val="Ctrl0"/>
        <w:spacing w:line="100" w:lineRule="atLeast"/>
      </w:pPr>
      <w:r>
        <w:t xml:space="preserve">запасів групи «малоцінні швидкозношувані предмети» — маніпулятор «мишку»; </w:t>
      </w:r>
    </w:p>
    <w:p w:rsidR="002104D8" w:rsidRDefault="00535994">
      <w:pPr>
        <w:pStyle w:val="Ctrl0"/>
        <w:spacing w:line="100" w:lineRule="atLeast"/>
      </w:pPr>
      <w:r>
        <w:t>орендовано нематеріального активу — операційну систему, яка до моменту вибуття системного блока комп’ютера обліковується на позабалансовому субрахунку 013 «Орендовані не</w:t>
      </w:r>
      <w:r>
        <w:t>матеріальні активи розпорядників бюджетних коштів» в оцінці, визначеній виходячи із розміру винагороди, встановленої в договорі</w:t>
      </w:r>
      <w:hyperlink r:id="rId5" w:history="1">
        <w:r>
          <w:rPr>
            <w:rStyle w:val="a8"/>
          </w:rPr>
          <w:t>;</w:t>
        </w:r>
      </w:hyperlink>
    </w:p>
    <w:p w:rsidR="002104D8" w:rsidRDefault="00535994">
      <w:pPr>
        <w:pStyle w:val="Ctrl0"/>
        <w:spacing w:line="100" w:lineRule="atLeast"/>
      </w:pPr>
      <w:r>
        <w:t>матеріальних витрат за обмінними операціями того звіт</w:t>
      </w:r>
      <w:r>
        <w:t>ного періоду, у якому придбали операційну систему, — вартість придбання цієї операційної системи (п. 11, 17 ро. ІІ Методичних рекомендацій з бухгалтерського обліку нематеріальних активів суб’єктів державного сектору, затверджених наказом Міністерства фінан</w:t>
      </w:r>
      <w:r>
        <w:t xml:space="preserve">сів України від 23.01.2015 № 11; </w:t>
      </w:r>
      <w:r>
        <w:rPr>
          <w:rStyle w:val="Italic"/>
        </w:rPr>
        <w:t>далі</w:t>
      </w:r>
      <w:r>
        <w:t xml:space="preserve"> — Наказ № 11).</w:t>
      </w:r>
    </w:p>
    <w:p w:rsidR="002104D8" w:rsidRDefault="002104D8">
      <w:pPr>
        <w:pStyle w:val="Ctrl0"/>
        <w:spacing w:line="100" w:lineRule="atLeast"/>
        <w:ind w:left="1231"/>
      </w:pPr>
    </w:p>
    <w:p w:rsidR="002104D8" w:rsidRDefault="00535994">
      <w:pPr>
        <w:pStyle w:val="ShiftAlt"/>
        <w:spacing w:line="100" w:lineRule="atLeast"/>
      </w:pPr>
      <w:r>
        <w:t xml:space="preserve">9.2. Втрати від зменшення та вигоди від відновлення корисності об’єктів основних засобів і нематеріальних активів та їх переоцінку визначати один раз на рік під час проведення їх інвентаризації. </w:t>
      </w:r>
    </w:p>
    <w:p w:rsidR="002104D8" w:rsidRDefault="00535994">
      <w:pPr>
        <w:pStyle w:val="ShiftAlt"/>
        <w:spacing w:line="100" w:lineRule="atLeast"/>
      </w:pPr>
      <w:r>
        <w:t>Втрати</w:t>
      </w:r>
      <w:r>
        <w:t xml:space="preserve"> від зменшення та вигоди від відновлення корисності об’єктів інвестиційної нерухомості визначати один раз на рік під час проведення їх інвентаризації.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  <w:rPr>
          <w:rStyle w:val="a3"/>
          <w:lang w:val="uk-UA"/>
        </w:rPr>
      </w:pPr>
      <w:r>
        <w:rPr>
          <w:rStyle w:val="a3"/>
          <w:lang w:val="uk-UA"/>
        </w:rPr>
        <w:t xml:space="preserve">9.3. Переоцінку вартості об’єктів житлового фонду проводити комісії, створеній наказом керівника установи, за індексами балансової вартості об’єктів житлового фонду, оприлюдненими </w:t>
      </w:r>
      <w:proofErr w:type="spellStart"/>
      <w:r>
        <w:rPr>
          <w:rStyle w:val="a3"/>
          <w:lang w:val="uk-UA"/>
        </w:rPr>
        <w:t>Мінрегіоном</w:t>
      </w:r>
      <w:proofErr w:type="spellEnd"/>
      <w:r>
        <w:rPr>
          <w:rStyle w:val="a3"/>
          <w:lang w:val="uk-UA"/>
        </w:rPr>
        <w:t xml:space="preserve"> станом на 01 січня кожного року та відповідно до:</w:t>
      </w:r>
    </w:p>
    <w:p w:rsidR="002104D8" w:rsidRDefault="00535994">
      <w:pPr>
        <w:pStyle w:val="Ctrl0"/>
        <w:spacing w:line="100" w:lineRule="atLeast"/>
        <w:rPr>
          <w:rStyle w:val="a3"/>
          <w:lang w:val="uk-UA"/>
        </w:rPr>
      </w:pPr>
      <w:r>
        <w:rPr>
          <w:rStyle w:val="a3"/>
          <w:lang w:val="uk-UA"/>
        </w:rPr>
        <w:t xml:space="preserve">постанови КМУ </w:t>
      </w:r>
      <w:r>
        <w:rPr>
          <w:rStyle w:val="a3"/>
          <w:lang w:val="uk-UA"/>
        </w:rPr>
        <w:t>«Про порядок індексації вартості об’єктів житлового фонду» від 31.08.1996 № 1024;</w:t>
      </w:r>
    </w:p>
    <w:p w:rsidR="002104D8" w:rsidRDefault="00535994">
      <w:pPr>
        <w:pStyle w:val="Ctrl0"/>
        <w:spacing w:line="100" w:lineRule="atLeast"/>
        <w:rPr>
          <w:rStyle w:val="a3"/>
          <w:lang w:val="uk-UA"/>
        </w:rPr>
      </w:pPr>
      <w:r>
        <w:rPr>
          <w:rStyle w:val="a3"/>
          <w:lang w:val="uk-UA"/>
        </w:rPr>
        <w:t>Методики визначення балансової вартості об’єктів житлового фонду, затвердженої постановою КМУ «Про проведення індексації балансової вартості об’єктів житлового фонду» від 09.</w:t>
      </w:r>
      <w:r>
        <w:rPr>
          <w:rStyle w:val="a3"/>
          <w:lang w:val="uk-UA"/>
        </w:rPr>
        <w:t>03.1995 № 163.</w:t>
      </w:r>
    </w:p>
    <w:p w:rsidR="002104D8" w:rsidRDefault="00535994">
      <w:pPr>
        <w:pStyle w:val="ShiftAlt"/>
        <w:spacing w:line="100" w:lineRule="atLeast"/>
      </w:pPr>
      <w:r>
        <w:rPr>
          <w:rStyle w:val="a3"/>
          <w:lang w:val="uk-UA"/>
        </w:rPr>
        <w:t xml:space="preserve">Рішення про її проведення не потребує погодження органу, уповноваженого управляти об’єктами державної (комунальної) власності, попри те, що до цього зобов’язує абзац четвертий пункту 3 розділу </w:t>
      </w:r>
      <w:r>
        <w:t>III НП(с)БОДС 121</w:t>
      </w:r>
      <w:r>
        <w:rPr>
          <w:rStyle w:val="a3"/>
          <w:lang w:val="uk-UA"/>
        </w:rPr>
        <w:t>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9.4. Амортизацію вартості об</w:t>
      </w:r>
      <w:r>
        <w:t xml:space="preserve">’єктів основних засобів, нематеріальних активів, інвестиційної нерухомості та біологічних активів нараховувати на річну дату балансу не пізніше 31 грудня звітного року, виходячи зі строків корисного використання основних засобів, визначених у додатку 1 до </w:t>
      </w:r>
      <w:r>
        <w:t>Методичних рекомендацій щодо облікової політики суб’єкта державного сектору, затверджених Наказом № 11 (</w:t>
      </w:r>
      <w:r>
        <w:rPr>
          <w:rStyle w:val="Italic"/>
        </w:rPr>
        <w:t>далі</w:t>
      </w:r>
      <w:r>
        <w:t xml:space="preserve"> — Методрекомендації з облікової політики), та очікуваної експлуатації нематеріальних активів, визначених у додатку 2 до Методрекомендацій з обліков</w:t>
      </w:r>
      <w:r>
        <w:t>ої політики.</w:t>
      </w:r>
    </w:p>
    <w:p w:rsidR="002104D8" w:rsidRDefault="00535994">
      <w:pPr>
        <w:pStyle w:val="ShiftAlt"/>
        <w:spacing w:line="100" w:lineRule="atLeast"/>
      </w:pPr>
      <w:r>
        <w:t>Амортизацію вартості об’єктів основних засобів та нематеріальних активів, переданих в операційну оренду, нараховувати у такому ж порядку.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 xml:space="preserve">9.5. </w:t>
      </w:r>
      <w:bookmarkStart w:id="1" w:name="o27"/>
      <w:bookmarkEnd w:id="1"/>
      <w:r>
        <w:t xml:space="preserve">Основними критеріями щодо розмежування об’єктів основних засобів, які відносяться до інвестиційної </w:t>
      </w:r>
      <w:r>
        <w:t>нерухомості за наявності ознак операційної нерухомості є:</w:t>
      </w:r>
    </w:p>
    <w:p w:rsidR="002104D8" w:rsidRDefault="00535994">
      <w:pPr>
        <w:pStyle w:val="ShiftAlt"/>
        <w:spacing w:line="100" w:lineRule="atLeast"/>
      </w:pPr>
      <w:r>
        <w:t>а) зміна характеру використання нерухомості, що засвідчується:</w:t>
      </w:r>
    </w:p>
    <w:p w:rsidR="002104D8" w:rsidRDefault="00535994">
      <w:pPr>
        <w:pStyle w:val="Ctrl0"/>
        <w:spacing w:line="100" w:lineRule="atLeast"/>
      </w:pPr>
      <w:bookmarkStart w:id="2" w:name="o48"/>
      <w:bookmarkEnd w:id="2"/>
      <w:r>
        <w:t>підготовкою частини операційної нерухомості для використання як інвестиційної нерухомості, що полягає у виділенні з об’єкта основних за</w:t>
      </w:r>
      <w:r>
        <w:t xml:space="preserve">собів його частини, яку </w:t>
      </w:r>
      <w:r w:rsidR="00A76061">
        <w:t>НДІ «Зразковий»</w:t>
      </w:r>
      <w:r>
        <w:t xml:space="preserve"> утримуватиме з метою отримання орендної плати;</w:t>
      </w:r>
    </w:p>
    <w:p w:rsidR="002104D8" w:rsidRDefault="00535994">
      <w:pPr>
        <w:pStyle w:val="Ctrl0"/>
        <w:spacing w:line="100" w:lineRule="atLeast"/>
      </w:pPr>
      <w:r>
        <w:t>припиненням її використання як операційної нерухомості;</w:t>
      </w:r>
    </w:p>
    <w:p w:rsidR="002104D8" w:rsidRDefault="00535994">
      <w:pPr>
        <w:pStyle w:val="Ctrl0"/>
        <w:spacing w:line="100" w:lineRule="atLeast"/>
      </w:pPr>
      <w:bookmarkStart w:id="3" w:name="o49"/>
      <w:bookmarkStart w:id="4" w:name="o50"/>
      <w:bookmarkStart w:id="5" w:name="o51"/>
      <w:bookmarkEnd w:id="3"/>
      <w:bookmarkEnd w:id="4"/>
      <w:bookmarkEnd w:id="5"/>
      <w:r>
        <w:t xml:space="preserve">наданням її в операційну оренду іншій стороні, що забезпечить ймовірність отримання </w:t>
      </w:r>
      <w:r w:rsidR="00A76061">
        <w:t>НДІ «Зразковий»</w:t>
      </w:r>
      <w:r>
        <w:t xml:space="preserve"> в майбутньому від її використання економічної вигоди або потенціалу корисності;</w:t>
      </w:r>
    </w:p>
    <w:p w:rsidR="002104D8" w:rsidRDefault="00535994">
      <w:pPr>
        <w:pStyle w:val="Ctrl0"/>
        <w:spacing w:line="100" w:lineRule="atLeast"/>
      </w:pPr>
      <w:r>
        <w:lastRenderedPageBreak/>
        <w:t>переведенням до інвестиційної нерухомості частини об’єкта основних засобів, виділеної із операційної нерухомості, і її облік як окремого інвентарного об’єкта на окремому аналі</w:t>
      </w:r>
      <w:r>
        <w:t>тичному рахунку, відкритому до субрахунку 1010 «Інвестиційна нерухомість»;</w:t>
      </w:r>
    </w:p>
    <w:p w:rsidR="002104D8" w:rsidRDefault="00535994">
      <w:pPr>
        <w:pStyle w:val="ShiftAlt"/>
        <w:spacing w:line="100" w:lineRule="atLeast"/>
      </w:pPr>
      <w:bookmarkStart w:id="6" w:name="o52"/>
      <w:bookmarkEnd w:id="6"/>
      <w:r>
        <w:t>б) можливість визначення первісної вартості інвестиційної нерухомості;</w:t>
      </w:r>
    </w:p>
    <w:p w:rsidR="002104D8" w:rsidRDefault="00535994">
      <w:pPr>
        <w:pStyle w:val="ShiftAlt"/>
        <w:spacing w:line="100" w:lineRule="atLeast"/>
      </w:pPr>
      <w:r>
        <w:t>в) можливість відчуження окремо (або окремого надання у фінансову оренду згідно з договором) частини об’єкта о</w:t>
      </w:r>
      <w:r>
        <w:t xml:space="preserve">сновних засобів, виділеної із операційної нерухомості та переведеної до інвестиційної нерухомості. </w:t>
      </w:r>
    </w:p>
    <w:p w:rsidR="002104D8" w:rsidRDefault="00535994">
      <w:pPr>
        <w:pStyle w:val="ShiftAlt"/>
        <w:spacing w:line="100" w:lineRule="atLeast"/>
      </w:pPr>
      <w:bookmarkStart w:id="7" w:name="o53"/>
      <w:bookmarkEnd w:id="7"/>
      <w:r>
        <w:t>Якщо частини об’єкта основних засобів не можуть бути відчужені окремо (або окремо надані у фінансову оренду згідно з договором), то цей об’єкт основних засо</w:t>
      </w:r>
      <w:r>
        <w:t>бів за умови його використання переважно з метою отримання орендної плати та/або для збільшення власного капіталу визнавати інвестиційною нерухомістю.»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5. Доповнити Положення про облікову політику новим пунктом у такій редакції: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«12. Облік грошових докум</w:t>
      </w:r>
      <w:r>
        <w:t>ентів, у т. ч. знаків поштової оплати як еквівалентів грошових коштів, вести у порядку, визначеному для грошових коштів. Для цього обліку застосовувати прибуткові та видаткові касові ордери і окремі аркуші в облікових регістрах, призначених для обліку грош</w:t>
      </w:r>
      <w:r>
        <w:t xml:space="preserve">ових коштів, що є додатками до Положення про ведення касових операцій у національній валюті в Україні, затвердженого постановою Правління Національного банку України 29.12.2017 № 148. </w:t>
      </w:r>
    </w:p>
    <w:p w:rsidR="002104D8" w:rsidRDefault="00535994">
      <w:pPr>
        <w:pStyle w:val="ShiftAlt"/>
        <w:spacing w:line="100" w:lineRule="atLeast"/>
      </w:pPr>
      <w:r>
        <w:t>На прибуткових та видаткових касових ордерах з оформлення операцій з гр</w:t>
      </w:r>
      <w:r>
        <w:t xml:space="preserve">ошовими документами, у т. ч. зі знаками поштової оплати, для їх ідентифікації, робити напис або проставляти штамп «грошові документи».». 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6. У додатку 1 до Положення про облікову політику: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 xml:space="preserve">6.1. Назву додатку 1 до Положення про облікову політику викласти </w:t>
      </w:r>
      <w:r>
        <w:t>у такій редакції:</w:t>
      </w:r>
    </w:p>
    <w:p w:rsidR="002104D8" w:rsidRDefault="00535994">
      <w:pPr>
        <w:pStyle w:val="ShiftAlt"/>
        <w:spacing w:line="100" w:lineRule="atLeast"/>
      </w:pPr>
      <w:r>
        <w:t>«Перелік національних положень (стандартів) бухгалтерського обліку в державному секторі та методичних рекомендацій, інших нормативних актів і роз’яснень, відповідно до яких ведеться бухгалтерський облік та складається фінансова звітність»</w:t>
      </w:r>
      <w:r>
        <w:t xml:space="preserve">. 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6.2. Перелік національних положень (стандартів) бухгалтерського обліку в державному секторі та методичних рекомендацій, інших нормативних актів і роз’яснень, відповідно до яких ведеться бухгалтерський облік та складається фінансова звітність, доповнити</w:t>
      </w:r>
      <w:r>
        <w:t xml:space="preserve"> новими пунктами у такій редакції: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«23. Порядок складання типових форм меморіальних ордерів та інших облікових регістрів суб’єктів державного сектору, затверджений наказом Мінфіну від 08.09.2017 № 755.</w:t>
      </w:r>
    </w:p>
    <w:p w:rsidR="002104D8" w:rsidRDefault="00535994">
      <w:pPr>
        <w:pStyle w:val="ShiftAlt"/>
        <w:spacing w:line="100" w:lineRule="atLeast"/>
      </w:pPr>
      <w:r>
        <w:t xml:space="preserve">24. Методичні рекомендації з перевірки порівнянності </w:t>
      </w:r>
      <w:r>
        <w:t>показників фінансової звітності суб’єктів державного сектору, затверджені наказом Міністерства фінансів України від 28.12.2017 № 1170.</w:t>
      </w:r>
    </w:p>
    <w:p w:rsidR="002104D8" w:rsidRDefault="00535994">
      <w:pPr>
        <w:pStyle w:val="ShiftAlt"/>
        <w:spacing w:line="100" w:lineRule="atLeast"/>
      </w:pPr>
      <w:r>
        <w:t>25. Лист Міністерства фінансів України «Щодо використання в роботі Рекомендацій зі співставлення субрахунків бухгалтерськ</w:t>
      </w:r>
      <w:r>
        <w:t>ого обліку доходів та витрат з кодами бюджетної класифікації» від 30.12.2016 № 31-11420-06-5/37851.».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7. У Робочому плані рахунків бухгалтерського обліку розпорядників бюджетних коштів, що є додатком 2 до Положення про облікову політику:</w:t>
      </w:r>
    </w:p>
    <w:p w:rsidR="002104D8" w:rsidRDefault="00535994">
      <w:pPr>
        <w:pStyle w:val="ShiftAlt"/>
        <w:spacing w:line="100" w:lineRule="atLeast"/>
      </w:pPr>
      <w:r>
        <w:t>7.1. Субрахунок 7</w:t>
      </w:r>
      <w:r>
        <w:t>11 «Доходи від реалізації продукції (робіт, послуг) розпорядників бюджетних коштів» доповнити новим субрахунком 7112 «Дохід від оприбуткування активів, раніше не врахованих в балансі».</w:t>
      </w:r>
    </w:p>
    <w:p w:rsidR="002104D8" w:rsidRDefault="00535994">
      <w:pPr>
        <w:pStyle w:val="ShiftAlt"/>
        <w:spacing w:line="100" w:lineRule="atLeast"/>
      </w:pPr>
      <w:r>
        <w:t>7.2. Субрахунок 751 «Доходи за необмінними операціями розпорядників бюд</w:t>
      </w:r>
      <w:r>
        <w:t>жетних коштів» доповнити новим субрахунком 7512 «Трансферти».</w:t>
      </w:r>
    </w:p>
    <w:p w:rsidR="002104D8" w:rsidRDefault="002104D8">
      <w:pPr>
        <w:pStyle w:val="ShiftAlt"/>
        <w:spacing w:line="100" w:lineRule="atLeast"/>
      </w:pPr>
    </w:p>
    <w:p w:rsidR="002104D8" w:rsidRDefault="00535994">
      <w:pPr>
        <w:pStyle w:val="ShiftAlt"/>
        <w:spacing w:line="100" w:lineRule="atLeast"/>
      </w:pPr>
      <w:r>
        <w:t>8. Доповнити Положення про облікову політику додатком 5, що додається.</w:t>
      </w:r>
    </w:p>
    <w:p w:rsidR="002104D8" w:rsidRDefault="00535994">
      <w:pPr>
        <w:pStyle w:val="ShiftAlt"/>
        <w:spacing w:line="100" w:lineRule="atLeast"/>
      </w:pPr>
      <w:r>
        <w:t>9. Додаток 4 до Положення про облікову політику доповнити новими рядками у такій редакції:</w:t>
      </w:r>
    </w:p>
    <w:p w:rsidR="002104D8" w:rsidRDefault="00535994">
      <w:pPr>
        <w:pStyle w:val="ShiftAlt"/>
        <w:spacing w:line="100" w:lineRule="atLeast"/>
      </w:pPr>
      <w:r>
        <w:t>«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1984"/>
        <w:gridCol w:w="2408"/>
        <w:gridCol w:w="23"/>
        <w:gridCol w:w="2247"/>
      </w:tblGrid>
      <w:tr w:rsidR="002104D8">
        <w:tc>
          <w:tcPr>
            <w:tcW w:w="3651" w:type="dxa"/>
            <w:vMerge w:val="restart"/>
            <w:shd w:val="clear" w:color="auto" w:fill="auto"/>
          </w:tcPr>
          <w:p w:rsidR="002104D8" w:rsidRDefault="00535994">
            <w:pPr>
              <w:pStyle w:val="ShiftCtrlAlt0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Зміст господарської операції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2104D8" w:rsidRDefault="00535994">
            <w:pPr>
              <w:pStyle w:val="ShiftCtrlAlt0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Кореспонденція субрахунків</w:t>
            </w:r>
          </w:p>
        </w:tc>
        <w:tc>
          <w:tcPr>
            <w:tcW w:w="23" w:type="dxa"/>
            <w:shd w:val="clear" w:color="auto" w:fill="auto"/>
          </w:tcPr>
          <w:p w:rsidR="002104D8" w:rsidRDefault="00535994">
            <w:pPr>
              <w:pStyle w:val="ShiftCtrlAlt0"/>
              <w:spacing w:line="100" w:lineRule="atLeast"/>
            </w:pPr>
            <w:r>
              <w:rPr>
                <w:lang w:val="uk-UA"/>
              </w:rPr>
              <w:t>Під</w:t>
            </w:r>
            <w:r>
              <w:rPr>
                <w:lang w:val="uk-UA"/>
              </w:rPr>
              <w:lastRenderedPageBreak/>
              <w:t>става</w:t>
            </w:r>
          </w:p>
        </w:tc>
        <w:tc>
          <w:tcPr>
            <w:tcW w:w="2247" w:type="dxa"/>
            <w:shd w:val="clear" w:color="auto" w:fill="auto"/>
          </w:tcPr>
          <w:p w:rsidR="002104D8" w:rsidRDefault="002104D8">
            <w:pPr>
              <w:snapToGrid w:val="0"/>
            </w:pPr>
          </w:p>
        </w:tc>
      </w:tr>
      <w:tr w:rsidR="002104D8">
        <w:tblPrEx>
          <w:tblCellMar>
            <w:left w:w="108" w:type="dxa"/>
            <w:right w:w="108" w:type="dxa"/>
          </w:tblCellMar>
        </w:tblPrEx>
        <w:tc>
          <w:tcPr>
            <w:tcW w:w="3651" w:type="dxa"/>
            <w:vMerge/>
            <w:shd w:val="clear" w:color="auto" w:fill="auto"/>
          </w:tcPr>
          <w:p w:rsidR="002104D8" w:rsidRDefault="002104D8">
            <w:pPr>
              <w:pStyle w:val="Ctrl"/>
              <w:snapToGrid w:val="0"/>
              <w:spacing w:line="100" w:lineRule="atLeast"/>
              <w:ind w:firstLine="0"/>
            </w:pPr>
          </w:p>
        </w:tc>
        <w:tc>
          <w:tcPr>
            <w:tcW w:w="1984" w:type="dxa"/>
            <w:shd w:val="clear" w:color="auto" w:fill="auto"/>
          </w:tcPr>
          <w:p w:rsidR="002104D8" w:rsidRDefault="00535994">
            <w:pPr>
              <w:pStyle w:val="ShiftCtrlAlt0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Д-т</w:t>
            </w:r>
          </w:p>
        </w:tc>
        <w:tc>
          <w:tcPr>
            <w:tcW w:w="2408" w:type="dxa"/>
            <w:shd w:val="clear" w:color="auto" w:fill="auto"/>
          </w:tcPr>
          <w:p w:rsidR="002104D8" w:rsidRDefault="00535994">
            <w:pPr>
              <w:pStyle w:val="ShiftCtrlAlt0"/>
              <w:spacing w:line="100" w:lineRule="atLeast"/>
            </w:pPr>
            <w:r>
              <w:rPr>
                <w:lang w:val="uk-UA"/>
              </w:rPr>
              <w:t>К-т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104D8" w:rsidRDefault="002104D8">
            <w:pPr>
              <w:pStyle w:val="Ctrl"/>
              <w:snapToGrid w:val="0"/>
              <w:spacing w:line="100" w:lineRule="atLeast"/>
              <w:ind w:firstLine="0"/>
            </w:pPr>
          </w:p>
        </w:tc>
      </w:tr>
      <w:tr w:rsidR="002104D8">
        <w:tblPrEx>
          <w:tblCellMar>
            <w:left w:w="108" w:type="dxa"/>
            <w:right w:w="108" w:type="dxa"/>
          </w:tblCellMar>
        </w:tblPrEx>
        <w:tc>
          <w:tcPr>
            <w:tcW w:w="3651" w:type="dxa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Перераховано на картковий рахунок установи з реєстраційного рахунку за КЕКВ 2250 — аванс на відрядження</w:t>
            </w:r>
          </w:p>
        </w:tc>
        <w:tc>
          <w:tcPr>
            <w:tcW w:w="1984" w:type="dxa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2116 «Дебіторська заборгованість за розрахунками з підзвітними особами»</w:t>
            </w:r>
          </w:p>
        </w:tc>
        <w:tc>
          <w:tcPr>
            <w:tcW w:w="2408" w:type="dxa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2313 «Реєстраційні рахунки»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</w:pPr>
            <w:r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аналогом р. 5.10, 5.13 Типової кореспонденції</w:t>
            </w:r>
          </w:p>
        </w:tc>
      </w:tr>
      <w:tr w:rsidR="002104D8">
        <w:tblPrEx>
          <w:tblCellMar>
            <w:left w:w="108" w:type="dxa"/>
            <w:right w:w="108" w:type="dxa"/>
          </w:tblCellMar>
        </w:tblPrEx>
        <w:tc>
          <w:tcPr>
            <w:tcW w:w="3651" w:type="dxa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Повернуто з карткового рахунку установи на реєстраційний рахунок залишок не використаних коштів (КЕКВ 2250)</w:t>
            </w:r>
          </w:p>
        </w:tc>
        <w:tc>
          <w:tcPr>
            <w:tcW w:w="1984" w:type="dxa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2313 «Реєстраційні рахунки»</w:t>
            </w:r>
          </w:p>
        </w:tc>
        <w:tc>
          <w:tcPr>
            <w:tcW w:w="2408" w:type="dxa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  <w:rPr>
                <w:lang w:val="uk-UA"/>
              </w:rPr>
            </w:pPr>
            <w:r>
              <w:rPr>
                <w:lang w:val="uk-UA"/>
              </w:rPr>
              <w:t>2116 «Дебіторська заборгованість за розрахунками з підзвітними особами»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2104D8" w:rsidRDefault="00535994">
            <w:pPr>
              <w:pStyle w:val="ShiftCtrlAlt"/>
              <w:spacing w:line="100" w:lineRule="atLeast"/>
            </w:pPr>
            <w:r>
              <w:rPr>
                <w:lang w:val="uk-UA"/>
              </w:rPr>
              <w:t>З</w:t>
            </w:r>
            <w:r>
              <w:rPr>
                <w:lang w:val="uk-UA"/>
              </w:rPr>
              <w:t>а аналогом р. 5.13 Типової кореспонденції</w:t>
            </w:r>
          </w:p>
        </w:tc>
      </w:tr>
    </w:tbl>
    <w:p w:rsidR="002104D8" w:rsidRDefault="00535994">
      <w:pPr>
        <w:pStyle w:val="Ctrl"/>
        <w:tabs>
          <w:tab w:val="left" w:pos="10065"/>
        </w:tabs>
        <w:spacing w:line="100" w:lineRule="atLeast"/>
        <w:ind w:firstLine="708"/>
      </w:pPr>
      <w:r>
        <w:tab/>
        <w:t>»</w:t>
      </w:r>
    </w:p>
    <w:p w:rsidR="002104D8" w:rsidRDefault="002104D8">
      <w:pPr>
        <w:pStyle w:val="Ctrl"/>
        <w:spacing w:line="100" w:lineRule="atLeast"/>
      </w:pPr>
    </w:p>
    <w:p w:rsidR="002104D8" w:rsidRDefault="002104D8">
      <w:pPr>
        <w:pStyle w:val="Ctrl"/>
        <w:spacing w:line="100" w:lineRule="atLeast"/>
      </w:pPr>
    </w:p>
    <w:p w:rsidR="002104D8" w:rsidRDefault="002104D8">
      <w:pPr>
        <w:pStyle w:val="Ctrl"/>
        <w:spacing w:line="100" w:lineRule="atLeast"/>
      </w:pPr>
    </w:p>
    <w:p w:rsidR="002104D8" w:rsidRDefault="00535994">
      <w:pPr>
        <w:pStyle w:val="Ctrl"/>
        <w:tabs>
          <w:tab w:val="left" w:pos="7938"/>
        </w:tabs>
        <w:spacing w:line="100" w:lineRule="atLeast"/>
        <w:ind w:firstLine="708"/>
      </w:pPr>
      <w:r>
        <w:tab/>
      </w:r>
    </w:p>
    <w:p w:rsidR="002104D8" w:rsidRDefault="00535994">
      <w:pPr>
        <w:pStyle w:val="Ctrl"/>
        <w:tabs>
          <w:tab w:val="left" w:pos="7938"/>
        </w:tabs>
        <w:spacing w:line="100" w:lineRule="atLeast"/>
        <w:ind w:firstLine="708"/>
      </w:pPr>
      <w:r>
        <w:t>Додаток 5</w:t>
      </w:r>
    </w:p>
    <w:p w:rsidR="002104D8" w:rsidRDefault="00535994">
      <w:pPr>
        <w:pStyle w:val="Ctrl"/>
        <w:tabs>
          <w:tab w:val="left" w:pos="7938"/>
        </w:tabs>
        <w:spacing w:line="100" w:lineRule="atLeast"/>
        <w:ind w:firstLine="708"/>
      </w:pPr>
      <w:r>
        <w:tab/>
        <w:t>до Положення про</w:t>
      </w:r>
    </w:p>
    <w:p w:rsidR="002104D8" w:rsidRDefault="00535994">
      <w:pPr>
        <w:pStyle w:val="Ctrl"/>
        <w:tabs>
          <w:tab w:val="left" w:pos="7938"/>
        </w:tabs>
        <w:spacing w:line="100" w:lineRule="atLeast"/>
        <w:ind w:firstLine="708"/>
      </w:pPr>
      <w:r>
        <w:tab/>
        <w:t>облікову політику</w:t>
      </w:r>
    </w:p>
    <w:p w:rsidR="002104D8" w:rsidRDefault="002104D8">
      <w:pPr>
        <w:pStyle w:val="Ctrl"/>
        <w:spacing w:line="100" w:lineRule="atLeast"/>
        <w:ind w:firstLine="0"/>
      </w:pPr>
    </w:p>
    <w:p w:rsidR="002104D8" w:rsidRDefault="00535994">
      <w:pPr>
        <w:pStyle w:val="3ShiftAlt"/>
        <w:spacing w:line="100" w:lineRule="atLeast"/>
      </w:pPr>
      <w:r>
        <w:t>Приклад щомісячного розподілу суми транспортно-заготівельних витрат за умови, що на кінець місяця на аналітичному рахунку їх обліку буде залишок</w:t>
      </w:r>
    </w:p>
    <w:p w:rsidR="002104D8" w:rsidRDefault="002104D8">
      <w:pPr>
        <w:pStyle w:val="Ctrl"/>
        <w:spacing w:line="100" w:lineRule="atLeast"/>
      </w:pPr>
    </w:p>
    <w:p w:rsidR="002104D8" w:rsidRDefault="00535994">
      <w:pPr>
        <w:pStyle w:val="Ctrl"/>
        <w:spacing w:line="100" w:lineRule="atLeast"/>
      </w:pPr>
      <w:r>
        <w:t xml:space="preserve">На початок </w:t>
      </w:r>
      <w:r>
        <w:t>грудня у медичному закладі на субрахунку 1512 «Медикаменти та перев’язувальні засоби» обліковувався залишок:</w:t>
      </w:r>
    </w:p>
    <w:p w:rsidR="002104D8" w:rsidRDefault="00535994">
      <w:pPr>
        <w:pStyle w:val="Ctrl"/>
        <w:numPr>
          <w:ilvl w:val="0"/>
          <w:numId w:val="2"/>
        </w:numPr>
        <w:spacing w:line="100" w:lineRule="atLeast"/>
      </w:pPr>
      <w:r>
        <w:t xml:space="preserve">медикаментів та перев’язувальних засобів на суму 192 750,00 грн; </w:t>
      </w:r>
    </w:p>
    <w:p w:rsidR="002104D8" w:rsidRDefault="00535994">
      <w:pPr>
        <w:pStyle w:val="Ctrl"/>
        <w:numPr>
          <w:ilvl w:val="0"/>
          <w:numId w:val="2"/>
        </w:numPr>
        <w:spacing w:line="100" w:lineRule="atLeast"/>
      </w:pPr>
      <w:r>
        <w:t>транспортно-заготівельних витрат — 23 060,00 грн з їх доставки.</w:t>
      </w:r>
    </w:p>
    <w:p w:rsidR="002104D8" w:rsidRDefault="00535994">
      <w:pPr>
        <w:pStyle w:val="Ctrl"/>
        <w:spacing w:line="100" w:lineRule="atLeast"/>
      </w:pPr>
      <w:r>
        <w:t>Протягом звітного</w:t>
      </w:r>
      <w:r>
        <w:t xml:space="preserve"> періоду медичний заклад:</w:t>
      </w:r>
    </w:p>
    <w:p w:rsidR="002104D8" w:rsidRDefault="00535994">
      <w:pPr>
        <w:pStyle w:val="Ctrl"/>
        <w:numPr>
          <w:ilvl w:val="0"/>
          <w:numId w:val="1"/>
        </w:numPr>
        <w:spacing w:line="100" w:lineRule="atLeast"/>
      </w:pPr>
      <w:r>
        <w:t>придбав медикаменти та перев’язувальні засоби на 215 750,00 грн;</w:t>
      </w:r>
    </w:p>
    <w:p w:rsidR="002104D8" w:rsidRDefault="00535994">
      <w:pPr>
        <w:pStyle w:val="Ctrl"/>
        <w:numPr>
          <w:ilvl w:val="0"/>
          <w:numId w:val="1"/>
        </w:numPr>
        <w:spacing w:line="100" w:lineRule="atLeast"/>
      </w:pPr>
      <w:r>
        <w:t>відобразив на окремому аналітичному рахунку транспортно-заготівельні витрати з їх придбання на суму 13 465,00 грн.</w:t>
      </w:r>
    </w:p>
    <w:p w:rsidR="002104D8" w:rsidRDefault="00535994">
      <w:pPr>
        <w:pStyle w:val="Ctrl"/>
        <w:spacing w:line="100" w:lineRule="atLeast"/>
      </w:pPr>
      <w:r>
        <w:t xml:space="preserve">Протягом грудня місяця на лікування хворих заклад </w:t>
      </w:r>
      <w:r>
        <w:t>використав медикаменти та перев’язувальні засоби на суму 323 445,00 грн.</w:t>
      </w:r>
    </w:p>
    <w:p w:rsidR="002104D8" w:rsidRDefault="00535994">
      <w:pPr>
        <w:pStyle w:val="Ctrl"/>
        <w:spacing w:line="100" w:lineRule="atLeast"/>
      </w:pPr>
      <w:r>
        <w:t xml:space="preserve">Потрібно пропорційно віднести на вартість медикаментів та перев’язувальних засобів, що вибули, суму транспортно-заготівельних витрат. </w:t>
      </w:r>
    </w:p>
    <w:p w:rsidR="002104D8" w:rsidRDefault="002104D8">
      <w:pPr>
        <w:pStyle w:val="Ctrl"/>
        <w:spacing w:line="100" w:lineRule="atLeast"/>
      </w:pPr>
    </w:p>
    <w:p w:rsidR="002104D8" w:rsidRDefault="00535994">
      <w:pPr>
        <w:pStyle w:val="Ctrl"/>
        <w:spacing w:line="100" w:lineRule="atLeast"/>
        <w:rPr>
          <w:rFonts w:cs="Times New Roman"/>
          <w:szCs w:val="24"/>
        </w:rPr>
      </w:pPr>
      <w:r>
        <w:rPr>
          <w:rFonts w:cs="Times New Roman"/>
          <w:szCs w:val="24"/>
        </w:rPr>
        <w:t>Щоб розрахувати суму</w:t>
      </w:r>
      <w:r>
        <w:t xml:space="preserve"> транспортно-заготівельних </w:t>
      </w:r>
      <w:r>
        <w:t xml:space="preserve">витрат, яка розподіляється між сумою медикаментів та перев’язувальних засобів, що вибули за звітний місяць, </w:t>
      </w:r>
      <w:r>
        <w:rPr>
          <w:rFonts w:cs="Times New Roman"/>
          <w:szCs w:val="24"/>
        </w:rPr>
        <w:t xml:space="preserve">середній відсоток транспортно-заготівельних витрат слід помножити на вартість </w:t>
      </w:r>
      <w:r>
        <w:t xml:space="preserve">медикаментів та перев’язувальних засобів, що вибули. </w:t>
      </w:r>
    </w:p>
    <w:p w:rsidR="002104D8" w:rsidRDefault="002104D8">
      <w:pPr>
        <w:pStyle w:val="Ctrl"/>
        <w:spacing w:line="100" w:lineRule="atLeast"/>
        <w:rPr>
          <w:rFonts w:cs="Times New Roman"/>
          <w:szCs w:val="24"/>
        </w:rPr>
      </w:pPr>
    </w:p>
    <w:p w:rsidR="002104D8" w:rsidRDefault="00535994">
      <w:pPr>
        <w:pStyle w:val="Ctrl"/>
        <w:spacing w:line="100" w:lineRule="atLeast"/>
      </w:pPr>
      <w:r>
        <w:rPr>
          <w:rFonts w:cs="Times New Roman"/>
          <w:szCs w:val="24"/>
        </w:rPr>
        <w:t>Середній відсот</w:t>
      </w:r>
      <w:r>
        <w:rPr>
          <w:rFonts w:cs="Times New Roman"/>
          <w:szCs w:val="24"/>
        </w:rPr>
        <w:t xml:space="preserve">ок транспортно-заготівельних витрат = (сума залишку транспортно-заготівельних витрат на початок звітного місяця + вартість транспортно-заготівельних витрат за звітний місяць) ÷ (сума залишку </w:t>
      </w:r>
      <w:r>
        <w:t xml:space="preserve">медикаментів та перев’язувальних засобів </w:t>
      </w:r>
      <w:r>
        <w:rPr>
          <w:rFonts w:cs="Times New Roman"/>
          <w:szCs w:val="24"/>
        </w:rPr>
        <w:t>на початок місяця + варт</w:t>
      </w:r>
      <w:r>
        <w:rPr>
          <w:rFonts w:cs="Times New Roman"/>
          <w:szCs w:val="24"/>
        </w:rPr>
        <w:t xml:space="preserve">ість </w:t>
      </w:r>
      <w:r>
        <w:t>медикаментів та перев’язувальних засобів</w:t>
      </w:r>
      <w:r>
        <w:rPr>
          <w:rFonts w:cs="Times New Roman"/>
          <w:szCs w:val="24"/>
        </w:rPr>
        <w:t>, що надійшли за звітний місяць) ×100%.</w:t>
      </w:r>
    </w:p>
    <w:p w:rsidR="002104D8" w:rsidRDefault="002104D8">
      <w:pPr>
        <w:pStyle w:val="Ctrl"/>
        <w:spacing w:line="100" w:lineRule="atLeast"/>
      </w:pPr>
    </w:p>
    <w:p w:rsidR="002104D8" w:rsidRDefault="00535994">
      <w:pPr>
        <w:pStyle w:val="Ctrl"/>
        <w:spacing w:line="100" w:lineRule="atLeast"/>
      </w:pPr>
      <w:r>
        <w:t xml:space="preserve">Спочатку потрібно визначити середній відсоток транспортно-заготівельних витрат. У нашому прикладі цей відсоток становить: </w:t>
      </w:r>
    </w:p>
    <w:p w:rsidR="002104D8" w:rsidRDefault="00535994">
      <w:pPr>
        <w:pStyle w:val="Ctrl"/>
        <w:spacing w:line="100" w:lineRule="atLeast"/>
      </w:pPr>
      <w:r>
        <w:t>(23 060,00 грн + 13 465,00 грн) ÷ (192 750,00 г</w:t>
      </w:r>
      <w:r>
        <w:t>рн + 215 750,00 грн) × 100% = 36 525,00 грн ÷ 408 500,00 грн × 100%) = 8,94%</w:t>
      </w:r>
    </w:p>
    <w:p w:rsidR="002104D8" w:rsidRDefault="002104D8">
      <w:pPr>
        <w:pStyle w:val="Ctrl"/>
        <w:spacing w:line="100" w:lineRule="atLeast"/>
      </w:pPr>
    </w:p>
    <w:p w:rsidR="002104D8" w:rsidRDefault="00535994">
      <w:pPr>
        <w:pStyle w:val="Ctrl"/>
        <w:spacing w:line="100" w:lineRule="atLeast"/>
      </w:pPr>
      <w:r>
        <w:lastRenderedPageBreak/>
        <w:t>Далі слід пропорційно віднести на вартість медикаментів та перев’язувальних засобів, що вибули, суму транспортно-заготівельних витрат.</w:t>
      </w:r>
    </w:p>
    <w:p w:rsidR="002104D8" w:rsidRDefault="002104D8">
      <w:pPr>
        <w:pStyle w:val="Ctrl"/>
        <w:spacing w:line="100" w:lineRule="atLeast"/>
      </w:pPr>
    </w:p>
    <w:p w:rsidR="002104D8" w:rsidRDefault="00535994">
      <w:pPr>
        <w:pStyle w:val="Ctrl"/>
        <w:spacing w:line="100" w:lineRule="atLeast"/>
      </w:pPr>
      <w:r>
        <w:t>У нашому прикладі сума транспортно-заготів</w:t>
      </w:r>
      <w:r>
        <w:t>ельних витрат:</w:t>
      </w:r>
    </w:p>
    <w:p w:rsidR="002104D8" w:rsidRDefault="00535994">
      <w:pPr>
        <w:pStyle w:val="Ctrl"/>
        <w:numPr>
          <w:ilvl w:val="0"/>
          <w:numId w:val="3"/>
        </w:numPr>
        <w:spacing w:line="100" w:lineRule="atLeast"/>
      </w:pPr>
      <w:r>
        <w:t>яку потрібно пропорційно віднести на відповідні субрахунки вибуття медикаментів та перев’язувальних засобів, становить 28 915,98 грн (323 445,00 грн × 8,94% ÷ 100%);</w:t>
      </w:r>
    </w:p>
    <w:p w:rsidR="002104D8" w:rsidRDefault="00535994">
      <w:pPr>
        <w:pStyle w:val="Ctrl"/>
        <w:numPr>
          <w:ilvl w:val="0"/>
          <w:numId w:val="3"/>
        </w:numPr>
        <w:spacing w:line="100" w:lineRule="atLeast"/>
      </w:pPr>
      <w:r>
        <w:t xml:space="preserve">яка обліковуватиметься на окремому аналітичному рахунку на кінець грудня </w:t>
      </w:r>
      <w:r>
        <w:t>місяця, становитиме 7609,09 грн (36 525,00 грн − 28 915,98 грн).</w:t>
      </w:r>
    </w:p>
    <w:p w:rsidR="001544FB" w:rsidRDefault="001544FB">
      <w:pPr>
        <w:spacing w:line="100" w:lineRule="atLeast"/>
      </w:pPr>
    </w:p>
    <w:sectPr w:rsidR="001544FB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536">
    <w:altName w:val="Calibri"/>
    <w:charset w:val="CC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no Pro">
    <w:charset w:val="CC"/>
    <w:family w:val="auto"/>
    <w:pitch w:val="variable"/>
  </w:font>
  <w:font w:name="Myriad Pro">
    <w:charset w:val="CC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117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C5"/>
    <w:rsid w:val="001544FB"/>
    <w:rsid w:val="001D7672"/>
    <w:rsid w:val="002104D8"/>
    <w:rsid w:val="003E3E64"/>
    <w:rsid w:val="00535994"/>
    <w:rsid w:val="007E5623"/>
    <w:rsid w:val="009D3AC5"/>
    <w:rsid w:val="00A74E11"/>
    <w:rsid w:val="00A76061"/>
    <w:rsid w:val="00E4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97E5C"/>
  <w15:chartTrackingRefBased/>
  <w15:docId w15:val="{6BD65BDD-3108-194F-B21B-5A713A36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536"/>
      <w:sz w:val="22"/>
      <w:szCs w:val="22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Bold">
    <w:name w:val="Bold"/>
    <w:rPr>
      <w:rFonts w:ascii="Times New Roman" w:hAnsi="Times New Roman" w:cs="Times New Roman"/>
      <w:b/>
      <w:bCs/>
    </w:rPr>
  </w:style>
  <w:style w:type="character" w:customStyle="1" w:styleId="Italic">
    <w:name w:val="Italic"/>
    <w:rPr>
      <w:rFonts w:ascii="Times New Roman" w:hAnsi="Times New Roman" w:cs="Times New Roman"/>
      <w:i/>
      <w:iCs/>
    </w:rPr>
  </w:style>
  <w:style w:type="character" w:customStyle="1" w:styleId="a3">
    <w:name w:val="обычный"/>
    <w:rPr>
      <w:lang w:val="ru-RU"/>
    </w:rPr>
  </w:style>
  <w:style w:type="character" w:customStyle="1" w:styleId="a4">
    <w:name w:val="Текст сноски Знак"/>
    <w:rPr>
      <w:sz w:val="20"/>
      <w:szCs w:val="20"/>
      <w:lang w:val="uk-UA"/>
    </w:rPr>
  </w:style>
  <w:style w:type="character" w:customStyle="1" w:styleId="10">
    <w:name w:val="Знак сноски1"/>
    <w:rPr>
      <w:vertAlign w:val="superscript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  <w:lang w:val="uk-UA"/>
    </w:rPr>
  </w:style>
  <w:style w:type="character" w:customStyle="1" w:styleId="a6">
    <w:name w:val="Верхний колонтитул Знак"/>
    <w:rPr>
      <w:lang w:val="uk-UA"/>
    </w:rPr>
  </w:style>
  <w:style w:type="character" w:customStyle="1" w:styleId="a7">
    <w:name w:val="Нижний колонтитул Знак"/>
    <w:rPr>
      <w:lang w:val="uk-U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styleId="a8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Arial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Ctrl">
    <w:name w:val="Статья_основной_текст (Статья ___Ctrl)"/>
    <w:pPr>
      <w:suppressAutoHyphens/>
      <w:spacing w:line="250" w:lineRule="atLeast"/>
      <w:ind w:firstLine="454"/>
      <w:jc w:val="both"/>
    </w:pPr>
    <w:rPr>
      <w:rFonts w:eastAsia="SimSun" w:cs="Arno Pro"/>
      <w:color w:val="000000"/>
      <w:sz w:val="24"/>
      <w:szCs w:val="25"/>
      <w:lang w:val="uk-UA" w:eastAsia="ar-SA"/>
    </w:rPr>
  </w:style>
  <w:style w:type="paragraph" w:customStyle="1" w:styleId="1ShiftAlt">
    <w:name w:val="Додаток_заголовок 1 (Додаток___Shift+Alt)"/>
    <w:pPr>
      <w:suppressAutoHyphens/>
      <w:spacing w:line="200" w:lineRule="atLeast"/>
      <w:jc w:val="right"/>
    </w:pPr>
    <w:rPr>
      <w:rFonts w:eastAsia="SimSun" w:cs="Arno Pro"/>
      <w:i/>
      <w:iCs/>
      <w:color w:val="000000"/>
      <w:sz w:val="24"/>
      <w:szCs w:val="18"/>
      <w:lang w:val="uk-UA" w:eastAsia="ar-SA"/>
    </w:rPr>
  </w:style>
  <w:style w:type="paragraph" w:customStyle="1" w:styleId="2ShiftAlt">
    <w:name w:val="Додаток_заголовок 2 (Додаток___Shift+Alt)"/>
    <w:pPr>
      <w:suppressAutoHyphens/>
      <w:spacing w:line="200" w:lineRule="atLeast"/>
      <w:jc w:val="right"/>
    </w:pPr>
    <w:rPr>
      <w:rFonts w:eastAsia="SimSun" w:cs="Arno Pro"/>
      <w:b/>
      <w:bCs/>
      <w:i/>
      <w:iCs/>
      <w:color w:val="000000"/>
      <w:sz w:val="24"/>
      <w:szCs w:val="18"/>
      <w:lang w:val="uk-UA" w:eastAsia="ar-SA"/>
    </w:rPr>
  </w:style>
  <w:style w:type="paragraph" w:customStyle="1" w:styleId="ShiftAlt">
    <w:name w:val="Додаток_основной_текст (Додаток___Shift+Alt)"/>
    <w:pPr>
      <w:suppressAutoHyphens/>
      <w:spacing w:line="210" w:lineRule="atLeast"/>
      <w:ind w:firstLine="227"/>
      <w:jc w:val="both"/>
    </w:pPr>
    <w:rPr>
      <w:rFonts w:eastAsia="SimSun" w:cs="Myriad Pro"/>
      <w:color w:val="000000"/>
      <w:sz w:val="24"/>
      <w:szCs w:val="18"/>
      <w:lang w:val="uk-UA" w:eastAsia="ar-SA"/>
    </w:rPr>
  </w:style>
  <w:style w:type="paragraph" w:customStyle="1" w:styleId="3ShiftAlt">
    <w:name w:val="Додаток_заголовок 3 (Додаток___Shift+Alt)"/>
    <w:pPr>
      <w:suppressAutoHyphens/>
      <w:spacing w:line="230" w:lineRule="atLeast"/>
      <w:jc w:val="center"/>
    </w:pPr>
    <w:rPr>
      <w:rFonts w:eastAsia="SimSun" w:cs="Myriad Pro"/>
      <w:b/>
      <w:bCs/>
      <w:color w:val="000000"/>
      <w:sz w:val="28"/>
      <w:szCs w:val="18"/>
      <w:lang w:val="uk-UA" w:eastAsia="ar-SA"/>
    </w:rPr>
  </w:style>
  <w:style w:type="paragraph" w:customStyle="1" w:styleId="ShiftCtrlAlt">
    <w:name w:val="Таблица_основной_текст (Таблица__Shift+Ctrl_Alt)"/>
    <w:pPr>
      <w:suppressAutoHyphens/>
      <w:spacing w:line="200" w:lineRule="atLeast"/>
    </w:pPr>
    <w:rPr>
      <w:rFonts w:eastAsia="SimSun" w:cs="Myriad Pro"/>
      <w:color w:val="000000"/>
      <w:sz w:val="22"/>
      <w:szCs w:val="18"/>
      <w:lang w:val="ru-RU" w:eastAsia="ar-SA"/>
    </w:rPr>
  </w:style>
  <w:style w:type="paragraph" w:customStyle="1" w:styleId="ShiftCtrlAlt0">
    <w:name w:val="Таблица_шапка (Таблица__Shift+Ctrl_Alt)"/>
    <w:basedOn w:val="ShiftCtrlAlt"/>
    <w:pPr>
      <w:spacing w:line="180" w:lineRule="atLeast"/>
      <w:jc w:val="center"/>
    </w:pPr>
    <w:rPr>
      <w:b/>
      <w:bCs/>
      <w:szCs w:val="16"/>
    </w:rPr>
  </w:style>
  <w:style w:type="paragraph" w:customStyle="1" w:styleId="Ctrl0">
    <w:name w:val="Статья_список_с_подсечками (Статья ___Ctrl)"/>
    <w:pPr>
      <w:suppressAutoHyphens/>
      <w:spacing w:line="250" w:lineRule="atLeast"/>
      <w:jc w:val="both"/>
    </w:pPr>
    <w:rPr>
      <w:rFonts w:eastAsia="SimSun" w:cs="Arno Pro"/>
      <w:color w:val="000000"/>
      <w:sz w:val="24"/>
      <w:szCs w:val="25"/>
      <w:lang w:val="uk-UA" w:eastAsia="ar-SA"/>
    </w:rPr>
  </w:style>
  <w:style w:type="paragraph" w:customStyle="1" w:styleId="ac">
    <w:name w:val="Статья_подсписок (Статья)"/>
    <w:basedOn w:val="Ctrl0"/>
    <w:rPr>
      <w:rFonts w:cs="Myriad Pro"/>
      <w:szCs w:val="21"/>
    </w:rPr>
  </w:style>
  <w:style w:type="paragraph" w:customStyle="1" w:styleId="13">
    <w:name w:val="Текст сноски1"/>
    <w:basedOn w:val="a"/>
    <w:pPr>
      <w:spacing w:after="0" w:line="100" w:lineRule="atLeast"/>
    </w:pPr>
    <w:rPr>
      <w:sz w:val="20"/>
      <w:szCs w:val="20"/>
    </w:rPr>
  </w:style>
  <w:style w:type="paragraph" w:customStyle="1" w:styleId="-Ctrl">
    <w:name w:val="Статья_Лампочка (Статья - Ctrl)"/>
    <w:basedOn w:val="Ctrl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ft.rozetka.com.ua/microsoft_fqc_09131/p39363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14192</CharactersWithSpaces>
  <SharedDoc>false</SharedDoc>
  <HyperlinkBase/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https://soft.rozetka.com.ua/microsoft_fqc_09131/p3936301/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2</cp:revision>
  <cp:lastPrinted>2024-04-26T18:49:00Z</cp:lastPrinted>
  <dcterms:created xsi:type="dcterms:W3CDTF">2025-03-13T17:26:00Z</dcterms:created>
  <dcterms:modified xsi:type="dcterms:W3CDTF">2025-03-13T17:26:00Z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